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180340</wp:posOffset>
            </wp:positionV>
            <wp:extent cx="23742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 xml:space="preserve">Date of Report (Date of earliest event reported): </w:t>
      </w:r>
      <w:r>
        <w:rPr>
          <w:rFonts w:ascii="Arial" w:cs="Arial" w:eastAsia="Arial" w:hAnsi="Arial"/>
          <w:sz w:val="20"/>
          <w:szCs w:val="20"/>
          <w:b w:val="1"/>
          <w:bCs w:val="1"/>
          <w:color w:val="auto"/>
        </w:rPr>
        <w:t>June 25, 2020</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MATCH GROUP,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pacing w:after="0" w:line="200" w:lineRule="exact"/>
        <w:rPr>
          <w:sz w:val="24"/>
          <w:szCs w:val="24"/>
          <w:color w:val="auto"/>
        </w:rPr>
      </w:pPr>
    </w:p>
    <w:p>
      <w:pPr>
        <w:spacing w:after="0" w:line="331" w:lineRule="exact"/>
        <w:rPr>
          <w:sz w:val="24"/>
          <w:szCs w:val="24"/>
          <w:color w:val="auto"/>
        </w:rPr>
      </w:pPr>
    </w:p>
    <w:tbl>
      <w:tblPr>
        <w:tblLayout w:type="fixed"/>
        <w:tblInd w:w="820" w:type="dxa"/>
        <w:tblCellMar>
          <w:top w:w="0" w:type="dxa"/>
          <w:left w:w="0" w:type="dxa"/>
          <w:bottom w:w="0" w:type="dxa"/>
          <w:right w:w="0" w:type="dxa"/>
        </w:tblCellMar>
      </w:tblPr>
      <w:tr>
        <w:trPr>
          <w:trHeight w:val="256"/>
        </w:trPr>
        <w:tc>
          <w:tcPr>
            <w:tcW w:w="3180" w:type="dxa"/>
            <w:vAlign w:val="bottom"/>
          </w:tcPr>
          <w:p>
            <w:pPr>
              <w:jc w:val="center"/>
              <w:ind w:right="921"/>
              <w:spacing w:after="0"/>
              <w:rPr>
                <w:sz w:val="20"/>
                <w:szCs w:val="20"/>
                <w:color w:val="auto"/>
              </w:rPr>
            </w:pPr>
            <w:r>
              <w:rPr>
                <w:rFonts w:ascii="Arial" w:cs="Arial" w:eastAsia="Arial" w:hAnsi="Arial"/>
                <w:sz w:val="20"/>
                <w:szCs w:val="20"/>
                <w:b w:val="1"/>
                <w:bCs w:val="1"/>
                <w:color w:val="auto"/>
                <w:w w:val="91"/>
              </w:rPr>
              <w:t>Delaware</w:t>
            </w:r>
          </w:p>
        </w:tc>
        <w:tc>
          <w:tcPr>
            <w:tcW w:w="3420" w:type="dxa"/>
            <w:vAlign w:val="bottom"/>
          </w:tcPr>
          <w:p>
            <w:pPr>
              <w:jc w:val="center"/>
              <w:ind w:right="21"/>
              <w:spacing w:after="0"/>
              <w:rPr>
                <w:sz w:val="20"/>
                <w:szCs w:val="20"/>
                <w:color w:val="auto"/>
              </w:rPr>
            </w:pPr>
            <w:r>
              <w:rPr>
                <w:rFonts w:ascii="Arial" w:cs="Arial" w:eastAsia="Arial" w:hAnsi="Arial"/>
                <w:sz w:val="20"/>
                <w:szCs w:val="20"/>
                <w:b w:val="1"/>
                <w:bCs w:val="1"/>
                <w:color w:val="auto"/>
                <w:w w:val="89"/>
              </w:rPr>
              <w:t>001-37636</w:t>
            </w:r>
          </w:p>
        </w:tc>
        <w:tc>
          <w:tcPr>
            <w:tcW w:w="2700" w:type="dxa"/>
            <w:vAlign w:val="bottom"/>
          </w:tcPr>
          <w:p>
            <w:pPr>
              <w:jc w:val="center"/>
              <w:ind w:left="1121"/>
              <w:spacing w:after="0"/>
              <w:rPr>
                <w:sz w:val="20"/>
                <w:szCs w:val="20"/>
                <w:color w:val="auto"/>
              </w:rPr>
            </w:pPr>
            <w:r>
              <w:rPr>
                <w:rFonts w:ascii="Arial" w:cs="Arial" w:eastAsia="Arial" w:hAnsi="Arial"/>
                <w:sz w:val="20"/>
                <w:szCs w:val="20"/>
                <w:b w:val="1"/>
                <w:bCs w:val="1"/>
                <w:color w:val="auto"/>
                <w:w w:val="89"/>
              </w:rPr>
              <w:t>26-4278917</w:t>
            </w:r>
          </w:p>
        </w:tc>
      </w:tr>
      <w:tr>
        <w:trPr>
          <w:trHeight w:val="263"/>
        </w:trPr>
        <w:tc>
          <w:tcPr>
            <w:tcW w:w="3180" w:type="dxa"/>
            <w:vAlign w:val="bottom"/>
          </w:tcPr>
          <w:p>
            <w:pPr>
              <w:jc w:val="center"/>
              <w:ind w:right="1001"/>
              <w:spacing w:after="0"/>
              <w:rPr>
                <w:sz w:val="20"/>
                <w:szCs w:val="20"/>
                <w:color w:val="auto"/>
              </w:rPr>
            </w:pPr>
            <w:r>
              <w:rPr>
                <w:rFonts w:ascii="Arial" w:cs="Arial" w:eastAsia="Arial" w:hAnsi="Arial"/>
                <w:sz w:val="20"/>
                <w:szCs w:val="20"/>
                <w:color w:val="auto"/>
                <w:w w:val="91"/>
              </w:rPr>
              <w:t>(State or other jurisdiction</w:t>
            </w:r>
          </w:p>
        </w:tc>
        <w:tc>
          <w:tcPr>
            <w:tcW w:w="3420" w:type="dxa"/>
            <w:vAlign w:val="bottom"/>
          </w:tcPr>
          <w:p>
            <w:pPr>
              <w:jc w:val="center"/>
              <w:ind w:right="81"/>
              <w:spacing w:after="0"/>
              <w:rPr>
                <w:sz w:val="20"/>
                <w:szCs w:val="20"/>
                <w:color w:val="auto"/>
              </w:rPr>
            </w:pPr>
            <w:r>
              <w:rPr>
                <w:rFonts w:ascii="Arial" w:cs="Arial" w:eastAsia="Arial" w:hAnsi="Arial"/>
                <w:sz w:val="20"/>
                <w:szCs w:val="20"/>
                <w:color w:val="auto"/>
                <w:w w:val="92"/>
              </w:rPr>
              <w:t>(Commission</w:t>
            </w:r>
          </w:p>
        </w:tc>
        <w:tc>
          <w:tcPr>
            <w:tcW w:w="2700" w:type="dxa"/>
            <w:vAlign w:val="bottom"/>
          </w:tcPr>
          <w:p>
            <w:pPr>
              <w:jc w:val="center"/>
              <w:ind w:left="1081"/>
              <w:spacing w:after="0"/>
              <w:rPr>
                <w:sz w:val="20"/>
                <w:szCs w:val="20"/>
                <w:color w:val="auto"/>
              </w:rPr>
            </w:pPr>
            <w:r>
              <w:rPr>
                <w:rFonts w:ascii="Arial" w:cs="Arial" w:eastAsia="Arial" w:hAnsi="Arial"/>
                <w:sz w:val="20"/>
                <w:szCs w:val="20"/>
                <w:color w:val="auto"/>
                <w:w w:val="92"/>
              </w:rPr>
              <w:t>(IRS Employer</w:t>
            </w:r>
          </w:p>
        </w:tc>
      </w:tr>
      <w:tr>
        <w:trPr>
          <w:trHeight w:val="250"/>
        </w:trPr>
        <w:tc>
          <w:tcPr>
            <w:tcW w:w="3180" w:type="dxa"/>
            <w:vAlign w:val="bottom"/>
          </w:tcPr>
          <w:p>
            <w:pPr>
              <w:jc w:val="center"/>
              <w:ind w:right="941"/>
              <w:spacing w:after="0"/>
              <w:rPr>
                <w:sz w:val="20"/>
                <w:szCs w:val="20"/>
                <w:color w:val="auto"/>
              </w:rPr>
            </w:pPr>
            <w:r>
              <w:rPr>
                <w:rFonts w:ascii="Arial" w:cs="Arial" w:eastAsia="Arial" w:hAnsi="Arial"/>
                <w:sz w:val="20"/>
                <w:szCs w:val="20"/>
                <w:color w:val="auto"/>
                <w:w w:val="92"/>
              </w:rPr>
              <w:t>of incorporation)</w:t>
            </w:r>
          </w:p>
        </w:tc>
        <w:tc>
          <w:tcPr>
            <w:tcW w:w="3420" w:type="dxa"/>
            <w:vAlign w:val="bottom"/>
          </w:tcPr>
          <w:p>
            <w:pPr>
              <w:jc w:val="center"/>
              <w:ind w:right="41"/>
              <w:spacing w:after="0"/>
              <w:rPr>
                <w:sz w:val="20"/>
                <w:szCs w:val="20"/>
                <w:color w:val="auto"/>
              </w:rPr>
            </w:pPr>
            <w:r>
              <w:rPr>
                <w:rFonts w:ascii="Arial" w:cs="Arial" w:eastAsia="Arial" w:hAnsi="Arial"/>
                <w:sz w:val="20"/>
                <w:szCs w:val="20"/>
                <w:color w:val="auto"/>
                <w:w w:val="93"/>
              </w:rPr>
              <w:t>File Number)</w:t>
            </w:r>
          </w:p>
        </w:tc>
        <w:tc>
          <w:tcPr>
            <w:tcW w:w="2700" w:type="dxa"/>
            <w:vAlign w:val="bottom"/>
          </w:tcPr>
          <w:p>
            <w:pPr>
              <w:jc w:val="center"/>
              <w:ind w:left="1121"/>
              <w:spacing w:after="0"/>
              <w:rPr>
                <w:sz w:val="20"/>
                <w:szCs w:val="20"/>
                <w:color w:val="auto"/>
              </w:rPr>
            </w:pPr>
            <w:r>
              <w:rPr>
                <w:rFonts w:ascii="Arial" w:cs="Arial" w:eastAsia="Arial" w:hAnsi="Arial"/>
                <w:sz w:val="20"/>
                <w:szCs w:val="20"/>
                <w:color w:val="auto"/>
                <w:w w:val="95"/>
              </w:rPr>
              <w:t>Identification No.)</w:t>
            </w:r>
          </w:p>
        </w:tc>
      </w:tr>
    </w:tbl>
    <w:p>
      <w:pPr>
        <w:spacing w:after="0" w:line="35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8750 North Central Expressway, Suite 1400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Dallas, TX 75231</w:t>
      </w:r>
    </w:p>
    <w:p>
      <w:pPr>
        <w:jc w:val="center"/>
        <w:spacing w:after="0"/>
        <w:rPr>
          <w:sz w:val="20"/>
          <w:szCs w:val="20"/>
          <w:color w:val="auto"/>
        </w:rPr>
      </w:pPr>
      <w:r>
        <w:rPr>
          <w:rFonts w:ascii="Arial" w:cs="Arial" w:eastAsia="Arial" w:hAnsi="Arial"/>
          <w:sz w:val="20"/>
          <w:szCs w:val="20"/>
          <w:color w:val="auto"/>
        </w:rPr>
        <w:t>(Address of principal executive offices) (Zip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(214) 576-9352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348615</wp:posOffset>
            </wp:positionV>
            <wp:extent cx="23742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9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3"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3" w:lineRule="exact"/>
        <w:rPr>
          <w:rFonts w:ascii="MS PGothic" w:cs="MS PGothic" w:eastAsia="MS PGothic" w:hAnsi="MS PGothic"/>
          <w:sz w:val="16"/>
          <w:szCs w:val="16"/>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580" w:type="dxa"/>
            <w:vAlign w:val="bottom"/>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540" w:type="dxa"/>
            <w:vAlign w:val="bottom"/>
          </w:tcPr>
          <w:p>
            <w:pPr>
              <w:spacing w:after="0"/>
              <w:rPr>
                <w:sz w:val="16"/>
                <w:szCs w:val="16"/>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190"/>
        </w:trPr>
        <w:tc>
          <w:tcPr>
            <w:tcW w:w="4480" w:type="dxa"/>
            <w:vAlign w:val="bottom"/>
            <w:gridSpan w:val="2"/>
          </w:tcPr>
          <w:p>
            <w:pPr>
              <w:jc w:val="center"/>
              <w:ind w:right="580"/>
              <w:spacing w:after="0"/>
              <w:rPr>
                <w:sz w:val="20"/>
                <w:szCs w:val="20"/>
                <w:color w:val="auto"/>
              </w:rPr>
            </w:pPr>
            <w:r>
              <w:rPr>
                <w:rFonts w:ascii="Arial" w:cs="Arial" w:eastAsia="Arial" w:hAnsi="Arial"/>
                <w:sz w:val="14"/>
                <w:szCs w:val="14"/>
                <w:color w:val="auto"/>
                <w:w w:val="93"/>
              </w:rPr>
              <w:t>Common Stock, par value $0.001</w:t>
            </w:r>
          </w:p>
        </w:tc>
        <w:tc>
          <w:tcPr>
            <w:tcW w:w="2680" w:type="dxa"/>
            <w:vAlign w:val="bottom"/>
            <w:gridSpan w:val="2"/>
          </w:tcPr>
          <w:p>
            <w:pPr>
              <w:jc w:val="center"/>
              <w:ind w:right="540"/>
              <w:spacing w:after="0"/>
              <w:rPr>
                <w:sz w:val="20"/>
                <w:szCs w:val="20"/>
                <w:color w:val="auto"/>
              </w:rPr>
            </w:pPr>
            <w:r>
              <w:rPr>
                <w:rFonts w:ascii="Arial" w:cs="Arial" w:eastAsia="Arial" w:hAnsi="Arial"/>
                <w:sz w:val="14"/>
                <w:szCs w:val="14"/>
                <w:color w:val="auto"/>
              </w:rPr>
              <w:t>MTCH</w:t>
            </w:r>
          </w:p>
        </w:tc>
        <w:tc>
          <w:tcPr>
            <w:tcW w:w="408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r>
        <w:trPr>
          <w:trHeight w:val="203"/>
        </w:trPr>
        <w:tc>
          <w:tcPr>
            <w:tcW w:w="3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80" w:type="dxa"/>
            <w:vAlign w:val="bottom"/>
          </w:tcPr>
          <w:p>
            <w:pPr>
              <w:jc w:val="center"/>
              <w:spacing w:after="0"/>
              <w:rPr>
                <w:sz w:val="20"/>
                <w:szCs w:val="20"/>
                <w:color w:val="auto"/>
              </w:rPr>
            </w:pPr>
            <w:r>
              <w:rPr>
                <w:rFonts w:ascii="Arial" w:cs="Arial" w:eastAsia="Arial" w:hAnsi="Arial"/>
                <w:sz w:val="14"/>
                <w:szCs w:val="14"/>
                <w:color w:val="auto"/>
                <w:w w:val="94"/>
              </w:rPr>
              <w:t>(Nasdaq Global Select Market)</w:t>
            </w:r>
          </w:p>
        </w:tc>
      </w:tr>
    </w:tbl>
    <w:p>
      <w:pPr>
        <w:spacing w:after="0" w:line="110" w:lineRule="exact"/>
        <w:rPr>
          <w:sz w:val="24"/>
          <w:szCs w:val="24"/>
          <w:color w:val="auto"/>
        </w:rPr>
      </w:pPr>
    </w:p>
    <w:p>
      <w:pPr>
        <w:ind w:right="14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12b-2of the Securities Exchange Act of 1934 (§240.12b-2 of this chapter).</w:t>
      </w:r>
    </w:p>
    <w:p>
      <w:pPr>
        <w:spacing w:after="0" w:line="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43"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5.07. Submission of Matters to a Vote of Security Holders.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On June 25, </w:t>
      </w:r>
      <w:r>
        <w:rPr>
          <w:rFonts w:ascii="Arial" w:cs="Arial" w:eastAsia="Arial" w:hAnsi="Arial"/>
          <w:sz w:val="20"/>
          <w:szCs w:val="20"/>
          <w:color w:val="auto"/>
        </w:rPr>
        <w:t>2020</w:t>
      </w:r>
      <w:r>
        <w:rPr>
          <w:rFonts w:ascii="Arial" w:cs="Arial" w:eastAsia="Arial" w:hAnsi="Arial"/>
          <w:sz w:val="19"/>
          <w:szCs w:val="19"/>
          <w:color w:val="auto"/>
        </w:rPr>
        <w:t>, Match Group, Inc. (“Match”) held a special meeting of stockholders (the “Match Special Meeting”) to:</w:t>
      </w:r>
    </w:p>
    <w:p>
      <w:pPr>
        <w:spacing w:after="0" w:line="180" w:lineRule="exact"/>
        <w:rPr>
          <w:sz w:val="20"/>
          <w:szCs w:val="20"/>
          <w:color w:val="auto"/>
        </w:rPr>
      </w:pPr>
    </w:p>
    <w:p>
      <w:pPr>
        <w:ind w:left="980" w:hanging="324"/>
        <w:spacing w:after="0" w:line="306"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consider and vote on a proposal to adopt the Transaction Agreement, dated as of December 19, 2019 and amended as of April 28, 2020 and June 22, 2020 (as so amended, the “Transaction Agreement”), by and among IAC/InterActiveCorp (“IAC”), IAC Holdings, Inc., Valentine Merger Sub LLC and Match (the “Transaction Proposal”);</w:t>
      </w:r>
    </w:p>
    <w:p>
      <w:pPr>
        <w:spacing w:after="0" w:line="78" w:lineRule="exact"/>
        <w:rPr>
          <w:rFonts w:ascii="Arial" w:cs="Arial" w:eastAsia="Arial" w:hAnsi="Arial"/>
          <w:sz w:val="20"/>
          <w:szCs w:val="20"/>
          <w:color w:val="auto"/>
        </w:rPr>
      </w:pPr>
    </w:p>
    <w:p>
      <w:pPr>
        <w:ind w:left="980" w:right="120" w:hanging="324"/>
        <w:spacing w:after="0" w:line="301"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consider and vote on an advisory (non-binding) proposal to, following the separation of the businesses of Match from the remaining businesses of IAC pursuant to the Transaction Agreement (the “Separation”), classify the board of directors of IAC, which will be renamed “Match Group, Inc.” (“New Match”) and to allow New Match stockholders to vote on the election of the directors on a staggered three-year basis, rather than on an annual basis (the “New Match Board Classification Advisory Vote Proposal”);</w:t>
      </w:r>
    </w:p>
    <w:p>
      <w:pPr>
        <w:spacing w:after="0" w:line="83" w:lineRule="exact"/>
        <w:rPr>
          <w:rFonts w:ascii="Arial" w:cs="Arial" w:eastAsia="Arial" w:hAnsi="Arial"/>
          <w:sz w:val="20"/>
          <w:szCs w:val="20"/>
          <w:color w:val="auto"/>
        </w:rPr>
      </w:pPr>
    </w:p>
    <w:p>
      <w:pPr>
        <w:ind w:left="980" w:right="120" w:hanging="324"/>
        <w:spacing w:after="0" w:line="306"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consider and vote on an advisory (non-binding) proposal to, following the Separation, prohibit action by written consent of stockholders of New Match in lieu of a stockholder meeting, subject to any rights of holders of preferred stock (the “Prohibition of Stockholder Written Consent Advisory Vote Proposal”); and</w:t>
      </w:r>
    </w:p>
    <w:p>
      <w:pPr>
        <w:spacing w:after="0" w:line="78" w:lineRule="exact"/>
        <w:rPr>
          <w:rFonts w:ascii="Arial" w:cs="Arial" w:eastAsia="Arial" w:hAnsi="Arial"/>
          <w:sz w:val="20"/>
          <w:szCs w:val="20"/>
          <w:color w:val="auto"/>
        </w:rPr>
      </w:pPr>
    </w:p>
    <w:p>
      <w:pPr>
        <w:ind w:left="980" w:right="440" w:hanging="324"/>
        <w:spacing w:after="0" w:line="306"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approve one or more adjournments or postponements of the Match Special Meeting if necessary or appropriate, including to solicit additional proxies if there are not sufficient votes at the time of the Match Special Meeting to adopt the Transaction Proposal (the “Match Adjournment Proposal”).</w:t>
      </w:r>
    </w:p>
    <w:p>
      <w:pPr>
        <w:spacing w:after="0" w:line="88" w:lineRule="exact"/>
        <w:rPr>
          <w:sz w:val="20"/>
          <w:szCs w:val="20"/>
          <w:color w:val="auto"/>
        </w:rPr>
      </w:pPr>
    </w:p>
    <w:p>
      <w:pPr>
        <w:ind w:right="200" w:firstLine="648"/>
        <w:spacing w:after="0" w:line="324" w:lineRule="auto"/>
        <w:rPr>
          <w:sz w:val="20"/>
          <w:szCs w:val="20"/>
          <w:color w:val="auto"/>
        </w:rPr>
      </w:pPr>
      <w:r>
        <w:rPr>
          <w:rFonts w:ascii="Arial" w:cs="Arial" w:eastAsia="Arial" w:hAnsi="Arial"/>
          <w:sz w:val="20"/>
          <w:szCs w:val="20"/>
          <w:color w:val="auto"/>
        </w:rPr>
        <w:t xml:space="preserve">There were 74,223,779 shares </w:t>
      </w:r>
      <w:r>
        <w:rPr>
          <w:rFonts w:ascii="Arial" w:cs="Arial" w:eastAsia="Arial" w:hAnsi="Arial"/>
          <w:sz w:val="21"/>
          <w:szCs w:val="21"/>
          <w:color w:val="auto"/>
        </w:rPr>
        <w:t>of Match common stock (entitled to one vote per share) and</w:t>
      </w:r>
      <w:r>
        <w:rPr>
          <w:rFonts w:ascii="Arial" w:cs="Arial" w:eastAsia="Arial" w:hAnsi="Arial"/>
          <w:sz w:val="20"/>
          <w:szCs w:val="20"/>
          <w:color w:val="auto"/>
        </w:rPr>
        <w:t xml:space="preserve"> 209,919,402 </w:t>
      </w:r>
      <w:r>
        <w:rPr>
          <w:rFonts w:ascii="Arial" w:cs="Arial" w:eastAsia="Arial" w:hAnsi="Arial"/>
          <w:sz w:val="21"/>
          <w:szCs w:val="21"/>
          <w:color w:val="auto"/>
        </w:rPr>
        <w:t>shares of Match</w:t>
      </w:r>
      <w:r>
        <w:rPr>
          <w:rFonts w:ascii="Arial" w:cs="Arial" w:eastAsia="Arial" w:hAnsi="Arial"/>
          <w:sz w:val="20"/>
          <w:szCs w:val="20"/>
          <w:color w:val="auto"/>
        </w:rPr>
        <w:t xml:space="preserve"> </w:t>
      </w:r>
      <w:r>
        <w:rPr>
          <w:rFonts w:ascii="Arial" w:cs="Arial" w:eastAsia="Arial" w:hAnsi="Arial"/>
          <w:sz w:val="21"/>
          <w:szCs w:val="21"/>
          <w:color w:val="auto"/>
        </w:rPr>
        <w:t>Class B common stock (entitled to ten votes per share) outstanding and entitled to vote on the record date for the Match Special Meeting.</w:t>
      </w:r>
    </w:p>
    <w:p>
      <w:pPr>
        <w:spacing w:after="0" w:line="53" w:lineRule="exact"/>
        <w:rPr>
          <w:sz w:val="20"/>
          <w:szCs w:val="20"/>
          <w:color w:val="auto"/>
        </w:rPr>
      </w:pPr>
    </w:p>
    <w:p>
      <w:pPr>
        <w:ind w:right="80" w:firstLine="648"/>
        <w:spacing w:after="0" w:line="369" w:lineRule="auto"/>
        <w:rPr>
          <w:sz w:val="20"/>
          <w:szCs w:val="20"/>
          <w:color w:val="auto"/>
        </w:rPr>
      </w:pPr>
      <w:r>
        <w:rPr>
          <w:rFonts w:ascii="Arial" w:cs="Arial" w:eastAsia="Arial" w:hAnsi="Arial"/>
          <w:sz w:val="16"/>
          <w:szCs w:val="16"/>
          <w:color w:val="auto"/>
        </w:rPr>
        <w:t>Pursuant to the terms of the Transaction Agreement, adoption of the Transaction Proposal, which was a condition to the completion of the transactions contemplated by the Transaction Agreement, required both (i) the affirmative vote of holders of at least a majority of the aggregate voting power of all outstanding shares of Match capital stock entitled to vote on the proposal, voting together as a single class, and</w:t>
      </w:r>
    </w:p>
    <w:p>
      <w:pPr>
        <w:spacing w:after="0" w:line="2" w:lineRule="exact"/>
        <w:rPr>
          <w:sz w:val="20"/>
          <w:szCs w:val="20"/>
          <w:color w:val="auto"/>
        </w:rPr>
      </w:pPr>
    </w:p>
    <w:p>
      <w:pPr>
        <w:ind w:firstLine="8"/>
        <w:spacing w:after="0" w:line="318" w:lineRule="auto"/>
        <w:tabs>
          <w:tab w:leader="none" w:pos="291"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affirmative vote of holders of at least a majority of the aggregate voting power of all outstanding shares of Match capital stock entitled to vote on the proposal (other than any shares of Match capital stock owned, directly or indirectly, by IAC and its subsidiaries, the members of the IAC board of directors, any person that IAC has determined to be an “officer” of IAC within the meaning of Rule 16a-1(f) of the Securities Exchange Act of 1934, as amended (the “Exchange Act”), the members of the Match board of directors, any person that Match has determined to be an “officer” of Match within the meaning of Rule 16a-1(f) of the Exchange Act, and the immediate family members of any of the foregoing), voting together as a single class (the “Disinterested Stockholders”).</w:t>
      </w:r>
    </w:p>
    <w:p>
      <w:pPr>
        <w:sectPr>
          <w:pgSz w:w="11900" w:h="16838" w:orient="portrait"/>
          <w:cols w:equalWidth="0" w:num="1">
            <w:col w:w="11240"/>
          </w:cols>
          <w:pgMar w:left="320" w:top="1413" w:right="339" w:bottom="1440" w:gutter="0" w:footer="0" w:header="0"/>
        </w:sectPr>
      </w:pPr>
    </w:p>
    <w:bookmarkStart w:id="2" w:name="page3"/>
    <w:bookmarkEnd w:id="2"/>
    <w:p>
      <w:pPr>
        <w:spacing w:after="0" w:line="114" w:lineRule="exact"/>
        <w:rPr>
          <w:sz w:val="20"/>
          <w:szCs w:val="20"/>
          <w:color w:val="auto"/>
        </w:rPr>
      </w:pPr>
    </w:p>
    <w:p>
      <w:pPr>
        <w:ind w:right="140" w:firstLine="648"/>
        <w:spacing w:after="0" w:line="346" w:lineRule="auto"/>
        <w:rPr>
          <w:sz w:val="20"/>
          <w:szCs w:val="20"/>
          <w:color w:val="auto"/>
        </w:rPr>
      </w:pPr>
      <w:r>
        <w:rPr>
          <w:rFonts w:ascii="Arial" w:cs="Arial" w:eastAsia="Arial" w:hAnsi="Arial"/>
          <w:sz w:val="19"/>
          <w:szCs w:val="19"/>
          <w:color w:val="auto"/>
        </w:rPr>
        <w:t>At the Match Special Meeting, shares of Match capital stock constituting a quorum to conduct business were present in person or by proxy, and each of the proposals was approved by the requisite voting power of holders of Match capital stock.</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results for each matter voted on were as follows:</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900" w:type="dxa"/>
            <w:vAlign w:val="bottom"/>
          </w:tcPr>
          <w:p>
            <w:pPr>
              <w:jc w:val="right"/>
              <w:ind w:right="1"/>
              <w:spacing w:after="0"/>
              <w:rPr>
                <w:sz w:val="20"/>
                <w:szCs w:val="20"/>
                <w:color w:val="auto"/>
              </w:rPr>
            </w:pPr>
            <w:r>
              <w:rPr>
                <w:rFonts w:ascii="Arial" w:cs="Arial" w:eastAsia="Arial" w:hAnsi="Arial"/>
                <w:sz w:val="20"/>
                <w:szCs w:val="20"/>
                <w:color w:val="auto"/>
              </w:rPr>
              <w:t>1.</w:t>
            </w:r>
          </w:p>
        </w:tc>
        <w:tc>
          <w:tcPr>
            <w:tcW w:w="2900" w:type="dxa"/>
            <w:vAlign w:val="bottom"/>
          </w:tcPr>
          <w:p>
            <w:pPr>
              <w:ind w:left="80"/>
              <w:spacing w:after="0"/>
              <w:rPr>
                <w:sz w:val="20"/>
                <w:szCs w:val="20"/>
                <w:color w:val="auto"/>
              </w:rPr>
            </w:pPr>
            <w:r>
              <w:rPr>
                <w:rFonts w:ascii="Arial" w:cs="Arial" w:eastAsia="Arial" w:hAnsi="Arial"/>
                <w:sz w:val="20"/>
                <w:szCs w:val="20"/>
                <w:color w:val="auto"/>
              </w:rPr>
              <w:t>The Transaction Proposal:</w:t>
            </w:r>
          </w:p>
        </w:tc>
        <w:tc>
          <w:tcPr>
            <w:tcW w:w="3740" w:type="dxa"/>
            <w:vAlign w:val="bottom"/>
          </w:tcPr>
          <w:p>
            <w:pPr>
              <w:spacing w:after="0"/>
              <w:rPr>
                <w:sz w:val="21"/>
                <w:szCs w:val="21"/>
                <w:color w:val="auto"/>
              </w:rPr>
            </w:pPr>
          </w:p>
        </w:tc>
        <w:tc>
          <w:tcPr>
            <w:tcW w:w="3720" w:type="dxa"/>
            <w:vAlign w:val="bottom"/>
          </w:tcPr>
          <w:p>
            <w:pPr>
              <w:spacing w:after="0"/>
              <w:rPr>
                <w:sz w:val="21"/>
                <w:szCs w:val="21"/>
                <w:color w:val="auto"/>
              </w:rPr>
            </w:pPr>
          </w:p>
        </w:tc>
      </w:tr>
      <w:tr>
        <w:trPr>
          <w:trHeight w:val="158"/>
        </w:trPr>
        <w:tc>
          <w:tcPr>
            <w:tcW w:w="90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r>
      <w:tr>
        <w:trPr>
          <w:trHeight w:val="259"/>
        </w:trPr>
        <w:tc>
          <w:tcPr>
            <w:tcW w:w="900" w:type="dxa"/>
            <w:vAlign w:val="bottom"/>
            <w:tcBorders>
              <w:left w:val="single" w:sz="8" w:color="auto"/>
              <w:bottom w:val="single" w:sz="8" w:color="auto"/>
            </w:tcBorders>
          </w:tcPr>
          <w:p>
            <w:pPr>
              <w:spacing w:after="0"/>
              <w:rPr>
                <w:sz w:val="22"/>
                <w:szCs w:val="22"/>
                <w:color w:val="auto"/>
              </w:rPr>
            </w:pPr>
          </w:p>
        </w:tc>
        <w:tc>
          <w:tcPr>
            <w:tcW w:w="2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Number of Votes FOR</w:t>
            </w:r>
          </w:p>
        </w:tc>
        <w:tc>
          <w:tcPr>
            <w:tcW w:w="374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20"/>
                <w:szCs w:val="20"/>
                <w:color w:val="auto"/>
              </w:rPr>
              <w:t>Number of Votes AGAINST</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Number of Votes ABSTAINED</w:t>
            </w:r>
          </w:p>
        </w:tc>
      </w:tr>
      <w:tr>
        <w:trPr>
          <w:trHeight w:val="241"/>
        </w:trPr>
        <w:tc>
          <w:tcPr>
            <w:tcW w:w="900" w:type="dxa"/>
            <w:vAlign w:val="bottom"/>
            <w:tcBorders>
              <w:left w:val="single" w:sz="8" w:color="auto"/>
            </w:tcBorders>
          </w:tcPr>
          <w:p>
            <w:pPr>
              <w:spacing w:after="0"/>
              <w:rPr>
                <w:sz w:val="20"/>
                <w:szCs w:val="20"/>
                <w:color w:val="auto"/>
              </w:rPr>
            </w:pPr>
          </w:p>
        </w:tc>
        <w:tc>
          <w:tcPr>
            <w:tcW w:w="29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2,159,609,575</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32,666</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19,474</w:t>
            </w:r>
          </w:p>
        </w:tc>
      </w:tr>
      <w:tr>
        <w:trPr>
          <w:trHeight w:val="27"/>
        </w:trPr>
        <w:tc>
          <w:tcPr>
            <w:tcW w:w="900" w:type="dxa"/>
            <w:vAlign w:val="bottom"/>
            <w:tcBorders>
              <w:left w:val="single" w:sz="8" w:color="auto"/>
              <w:bottom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524"/>
        </w:trPr>
        <w:tc>
          <w:tcPr>
            <w:tcW w:w="900" w:type="dxa"/>
            <w:vAlign w:val="bottom"/>
          </w:tcPr>
          <w:p>
            <w:pPr>
              <w:jc w:val="right"/>
              <w:ind w:right="1"/>
              <w:spacing w:after="0"/>
              <w:rPr>
                <w:sz w:val="20"/>
                <w:szCs w:val="20"/>
                <w:color w:val="auto"/>
              </w:rPr>
            </w:pPr>
            <w:r>
              <w:rPr>
                <w:rFonts w:ascii="Arial" w:cs="Arial" w:eastAsia="Arial" w:hAnsi="Arial"/>
                <w:sz w:val="20"/>
                <w:szCs w:val="20"/>
                <w:color w:val="auto"/>
              </w:rPr>
              <w:t>2.</w:t>
            </w:r>
          </w:p>
        </w:tc>
        <w:tc>
          <w:tcPr>
            <w:tcW w:w="6640" w:type="dxa"/>
            <w:vAlign w:val="bottom"/>
            <w:gridSpan w:val="2"/>
          </w:tcPr>
          <w:p>
            <w:pPr>
              <w:ind w:left="80"/>
              <w:spacing w:after="0"/>
              <w:rPr>
                <w:sz w:val="20"/>
                <w:szCs w:val="20"/>
                <w:color w:val="auto"/>
              </w:rPr>
            </w:pPr>
            <w:r>
              <w:rPr>
                <w:rFonts w:ascii="Arial" w:cs="Arial" w:eastAsia="Arial" w:hAnsi="Arial"/>
                <w:sz w:val="20"/>
                <w:szCs w:val="20"/>
                <w:color w:val="auto"/>
              </w:rPr>
              <w:t>The New Match Board Classification Advisory Vote Proposal:</w:t>
            </w:r>
          </w:p>
        </w:tc>
        <w:tc>
          <w:tcPr>
            <w:tcW w:w="3720" w:type="dxa"/>
            <w:vAlign w:val="bottom"/>
          </w:tcPr>
          <w:p>
            <w:pPr>
              <w:spacing w:after="0"/>
              <w:rPr>
                <w:sz w:val="24"/>
                <w:szCs w:val="24"/>
                <w:color w:val="auto"/>
              </w:rPr>
            </w:pPr>
          </w:p>
        </w:tc>
      </w:tr>
      <w:tr>
        <w:trPr>
          <w:trHeight w:val="158"/>
        </w:trPr>
        <w:tc>
          <w:tcPr>
            <w:tcW w:w="90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r>
      <w:tr>
        <w:trPr>
          <w:trHeight w:val="259"/>
        </w:trPr>
        <w:tc>
          <w:tcPr>
            <w:tcW w:w="900" w:type="dxa"/>
            <w:vAlign w:val="bottom"/>
            <w:tcBorders>
              <w:left w:val="single" w:sz="8" w:color="auto"/>
              <w:bottom w:val="single" w:sz="8" w:color="auto"/>
            </w:tcBorders>
          </w:tcPr>
          <w:p>
            <w:pPr>
              <w:spacing w:after="0"/>
              <w:rPr>
                <w:sz w:val="22"/>
                <w:szCs w:val="22"/>
                <w:color w:val="auto"/>
              </w:rPr>
            </w:pPr>
          </w:p>
        </w:tc>
        <w:tc>
          <w:tcPr>
            <w:tcW w:w="2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Number of Votes FOR</w:t>
            </w:r>
          </w:p>
        </w:tc>
        <w:tc>
          <w:tcPr>
            <w:tcW w:w="374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20"/>
                <w:szCs w:val="20"/>
                <w:color w:val="auto"/>
              </w:rPr>
              <w:t>Number of Votes AGAINST</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Number of Votes ABSTAINED</w:t>
            </w:r>
          </w:p>
        </w:tc>
      </w:tr>
      <w:tr>
        <w:trPr>
          <w:trHeight w:val="241"/>
        </w:trPr>
        <w:tc>
          <w:tcPr>
            <w:tcW w:w="900" w:type="dxa"/>
            <w:vAlign w:val="bottom"/>
            <w:tcBorders>
              <w:left w:val="single" w:sz="8" w:color="auto"/>
            </w:tcBorders>
          </w:tcPr>
          <w:p>
            <w:pPr>
              <w:spacing w:after="0"/>
              <w:rPr>
                <w:sz w:val="20"/>
                <w:szCs w:val="20"/>
                <w:color w:val="auto"/>
              </w:rPr>
            </w:pPr>
          </w:p>
        </w:tc>
        <w:tc>
          <w:tcPr>
            <w:tcW w:w="29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2,131,236,967</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28,379,341</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45,407</w:t>
            </w:r>
          </w:p>
        </w:tc>
      </w:tr>
      <w:tr>
        <w:trPr>
          <w:trHeight w:val="27"/>
        </w:trPr>
        <w:tc>
          <w:tcPr>
            <w:tcW w:w="900" w:type="dxa"/>
            <w:vAlign w:val="bottom"/>
            <w:tcBorders>
              <w:left w:val="single" w:sz="8" w:color="auto"/>
              <w:bottom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524"/>
        </w:trPr>
        <w:tc>
          <w:tcPr>
            <w:tcW w:w="900" w:type="dxa"/>
            <w:vAlign w:val="bottom"/>
          </w:tcPr>
          <w:p>
            <w:pPr>
              <w:jc w:val="right"/>
              <w:ind w:right="1"/>
              <w:spacing w:after="0"/>
              <w:rPr>
                <w:sz w:val="20"/>
                <w:szCs w:val="20"/>
                <w:color w:val="auto"/>
              </w:rPr>
            </w:pPr>
            <w:r>
              <w:rPr>
                <w:rFonts w:ascii="Arial" w:cs="Arial" w:eastAsia="Arial" w:hAnsi="Arial"/>
                <w:sz w:val="20"/>
                <w:szCs w:val="20"/>
                <w:color w:val="auto"/>
              </w:rPr>
              <w:t>3.</w:t>
            </w:r>
          </w:p>
        </w:tc>
        <w:tc>
          <w:tcPr>
            <w:tcW w:w="6640" w:type="dxa"/>
            <w:vAlign w:val="bottom"/>
            <w:gridSpan w:val="2"/>
          </w:tcPr>
          <w:p>
            <w:pPr>
              <w:ind w:left="80"/>
              <w:spacing w:after="0"/>
              <w:rPr>
                <w:sz w:val="20"/>
                <w:szCs w:val="20"/>
                <w:color w:val="auto"/>
              </w:rPr>
            </w:pPr>
            <w:r>
              <w:rPr>
                <w:rFonts w:ascii="Arial" w:cs="Arial" w:eastAsia="Arial" w:hAnsi="Arial"/>
                <w:sz w:val="20"/>
                <w:szCs w:val="20"/>
                <w:color w:val="auto"/>
              </w:rPr>
              <w:t>The Prohibition of Stockholder Written Consent Advisory Vote Proposal:</w:t>
            </w:r>
          </w:p>
        </w:tc>
        <w:tc>
          <w:tcPr>
            <w:tcW w:w="3720" w:type="dxa"/>
            <w:vAlign w:val="bottom"/>
          </w:tcPr>
          <w:p>
            <w:pPr>
              <w:spacing w:after="0"/>
              <w:rPr>
                <w:sz w:val="24"/>
                <w:szCs w:val="24"/>
                <w:color w:val="auto"/>
              </w:rPr>
            </w:pPr>
          </w:p>
        </w:tc>
      </w:tr>
      <w:tr>
        <w:trPr>
          <w:trHeight w:val="158"/>
        </w:trPr>
        <w:tc>
          <w:tcPr>
            <w:tcW w:w="90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r>
      <w:tr>
        <w:trPr>
          <w:trHeight w:val="259"/>
        </w:trPr>
        <w:tc>
          <w:tcPr>
            <w:tcW w:w="900" w:type="dxa"/>
            <w:vAlign w:val="bottom"/>
            <w:tcBorders>
              <w:left w:val="single" w:sz="8" w:color="auto"/>
              <w:bottom w:val="single" w:sz="8" w:color="auto"/>
            </w:tcBorders>
          </w:tcPr>
          <w:p>
            <w:pPr>
              <w:spacing w:after="0"/>
              <w:rPr>
                <w:sz w:val="22"/>
                <w:szCs w:val="22"/>
                <w:color w:val="auto"/>
              </w:rPr>
            </w:pPr>
          </w:p>
        </w:tc>
        <w:tc>
          <w:tcPr>
            <w:tcW w:w="29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Number of Votes FOR</w:t>
            </w:r>
          </w:p>
        </w:tc>
        <w:tc>
          <w:tcPr>
            <w:tcW w:w="374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20"/>
                <w:szCs w:val="20"/>
                <w:color w:val="auto"/>
              </w:rPr>
              <w:t>Number of Votes AGAINST</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Number of Votes ABSTAINED</w:t>
            </w:r>
          </w:p>
        </w:tc>
      </w:tr>
      <w:tr>
        <w:trPr>
          <w:trHeight w:val="241"/>
        </w:trPr>
        <w:tc>
          <w:tcPr>
            <w:tcW w:w="900" w:type="dxa"/>
            <w:vAlign w:val="bottom"/>
            <w:tcBorders>
              <w:left w:val="single" w:sz="8" w:color="auto"/>
            </w:tcBorders>
          </w:tcPr>
          <w:p>
            <w:pPr>
              <w:spacing w:after="0"/>
              <w:rPr>
                <w:sz w:val="20"/>
                <w:szCs w:val="20"/>
                <w:color w:val="auto"/>
              </w:rPr>
            </w:pPr>
          </w:p>
        </w:tc>
        <w:tc>
          <w:tcPr>
            <w:tcW w:w="29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2,135,713,313</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23,872,569</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75,833</w:t>
            </w:r>
          </w:p>
        </w:tc>
      </w:tr>
      <w:tr>
        <w:trPr>
          <w:trHeight w:val="27"/>
        </w:trPr>
        <w:tc>
          <w:tcPr>
            <w:tcW w:w="900" w:type="dxa"/>
            <w:vAlign w:val="bottom"/>
            <w:tcBorders>
              <w:left w:val="single" w:sz="8" w:color="auto"/>
              <w:bottom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bl>
    <w:p>
      <w:pPr>
        <w:spacing w:after="0" w:line="226" w:lineRule="exact"/>
        <w:rPr>
          <w:sz w:val="20"/>
          <w:szCs w:val="20"/>
          <w:color w:val="auto"/>
        </w:rPr>
      </w:pPr>
    </w:p>
    <w:p>
      <w:pPr>
        <w:jc w:val="both"/>
        <w:ind w:right="100" w:firstLine="648"/>
        <w:spacing w:after="0" w:line="353" w:lineRule="auto"/>
        <w:rPr>
          <w:sz w:val="20"/>
          <w:szCs w:val="20"/>
          <w:color w:val="auto"/>
        </w:rPr>
      </w:pPr>
      <w:r>
        <w:rPr>
          <w:rFonts w:ascii="Arial" w:cs="Arial" w:eastAsia="Arial" w:hAnsi="Arial"/>
          <w:sz w:val="18"/>
          <w:szCs w:val="18"/>
          <w:color w:val="auto"/>
        </w:rPr>
        <w:t>As of the record date of the Match Special Meeting, the Disinterested Stockholders held 55,211,534 shares of Match common stock. The Transaction Proposal was approved by Disinterested Stockholders holding 41,594,128 shares of Match common stock, which represents approximately 75% of the voting power of Match common stock held by the Disinterested Stockholders.</w:t>
      </w:r>
    </w:p>
    <w:p>
      <w:pPr>
        <w:spacing w:after="0" w:line="45" w:lineRule="exact"/>
        <w:rPr>
          <w:sz w:val="20"/>
          <w:szCs w:val="20"/>
          <w:color w:val="auto"/>
        </w:rPr>
      </w:pPr>
    </w:p>
    <w:p>
      <w:pPr>
        <w:ind w:right="280" w:firstLine="648"/>
        <w:spacing w:after="0" w:line="378" w:lineRule="auto"/>
        <w:rPr>
          <w:sz w:val="20"/>
          <w:szCs w:val="20"/>
          <w:color w:val="auto"/>
        </w:rPr>
      </w:pPr>
      <w:r>
        <w:rPr>
          <w:rFonts w:ascii="Arial" w:cs="Arial" w:eastAsia="Arial" w:hAnsi="Arial"/>
          <w:sz w:val="18"/>
          <w:szCs w:val="18"/>
          <w:color w:val="auto"/>
        </w:rPr>
        <w:t>A vote on the Match Adjournment Proposal was not necessary or appropriate because there were sufficient votes at the time of the Match Special Meeting to approve the Transaction Proposal. No other business properly came before the Match Special Meeting.</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8.01. Other Events.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Press Release</w:t>
      </w:r>
    </w:p>
    <w:p>
      <w:pPr>
        <w:spacing w:after="0" w:line="162" w:lineRule="exact"/>
        <w:rPr>
          <w:sz w:val="20"/>
          <w:szCs w:val="20"/>
          <w:color w:val="auto"/>
        </w:rPr>
      </w:pPr>
    </w:p>
    <w:p>
      <w:pPr>
        <w:ind w:right="20" w:firstLine="648"/>
        <w:spacing w:after="0" w:line="317" w:lineRule="auto"/>
        <w:rPr>
          <w:sz w:val="20"/>
          <w:szCs w:val="20"/>
          <w:color w:val="auto"/>
        </w:rPr>
      </w:pPr>
      <w:r>
        <w:rPr>
          <w:rFonts w:ascii="Arial" w:cs="Arial" w:eastAsia="Arial" w:hAnsi="Arial"/>
          <w:sz w:val="20"/>
          <w:szCs w:val="20"/>
          <w:color w:val="auto"/>
        </w:rPr>
        <w:t>On June 25, 2020, Match and IAC issued a joint press release announcing the results of the Match Special Meeting, which is attached hereto as Exhibit 99.1 and incorporated herein by reference.</w:t>
      </w:r>
    </w:p>
    <w:p>
      <w:pPr>
        <w:sectPr>
          <w:pgSz w:w="11900" w:h="16838" w:orient="portrait"/>
          <w:cols w:equalWidth="0" w:num="1">
            <w:col w:w="11260"/>
          </w:cols>
          <w:pgMar w:left="320" w:top="1440" w:right="319" w:bottom="1440" w:gutter="0" w:footer="0" w:header="0"/>
        </w:sectPr>
      </w:pPr>
    </w:p>
    <w:bookmarkStart w:id="3" w:name="page4"/>
    <w:bookmarkEnd w:id="3"/>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Election Results</w:t>
      </w:r>
    </w:p>
    <w:p>
      <w:pPr>
        <w:spacing w:after="0" w:line="162" w:lineRule="exact"/>
        <w:rPr>
          <w:sz w:val="20"/>
          <w:szCs w:val="20"/>
          <w:color w:val="auto"/>
        </w:rPr>
      </w:pPr>
    </w:p>
    <w:p>
      <w:pPr>
        <w:ind w:right="80" w:firstLine="648"/>
        <w:spacing w:after="0" w:line="306" w:lineRule="auto"/>
        <w:rPr>
          <w:sz w:val="20"/>
          <w:szCs w:val="20"/>
          <w:color w:val="auto"/>
        </w:rPr>
      </w:pPr>
      <w:r>
        <w:rPr>
          <w:rFonts w:ascii="Arial" w:cs="Arial" w:eastAsia="Arial" w:hAnsi="Arial"/>
          <w:sz w:val="20"/>
          <w:szCs w:val="20"/>
          <w:color w:val="auto"/>
        </w:rPr>
        <w:t>Under the terms of the Transaction Agreement, if the separation of IAC and Match is completed, each Match stockholder (other than IAC, Match or their wholly owned subsidiaries) will be entitled to receive, with respect to each share of Match common stock, one share of New Match common stock and, at each such stockholder’s election, either:</w:t>
      </w:r>
    </w:p>
    <w:p>
      <w:pPr>
        <w:spacing w:after="0" w:line="103" w:lineRule="exact"/>
        <w:rPr>
          <w:sz w:val="20"/>
          <w:szCs w:val="20"/>
          <w:color w:val="auto"/>
        </w:rPr>
      </w:pPr>
    </w:p>
    <w:p>
      <w:pPr>
        <w:ind w:left="1020" w:hanging="364"/>
        <w:spacing w:after="0"/>
        <w:tabs>
          <w:tab w:leader="none" w:pos="1020" w:val="left"/>
        </w:tabs>
        <w:numPr>
          <w:ilvl w:val="0"/>
          <w:numId w:val="5"/>
        </w:numPr>
        <w:rPr>
          <w:rFonts w:ascii="Arial" w:cs="Arial" w:eastAsia="Arial" w:hAnsi="Arial"/>
          <w:sz w:val="22"/>
          <w:szCs w:val="22"/>
          <w:color w:val="auto"/>
        </w:rPr>
      </w:pPr>
      <w:r>
        <w:rPr>
          <w:rFonts w:ascii="Arial" w:cs="Arial" w:eastAsia="Arial" w:hAnsi="Arial"/>
          <w:sz w:val="20"/>
          <w:szCs w:val="20"/>
          <w:color w:val="auto"/>
        </w:rPr>
        <w:t>$3.00 in cash (a “Cash Election”); or</w:t>
      </w:r>
    </w:p>
    <w:p>
      <w:pPr>
        <w:spacing w:after="0" w:line="168" w:lineRule="exact"/>
        <w:rPr>
          <w:rFonts w:ascii="Arial" w:cs="Arial" w:eastAsia="Arial" w:hAnsi="Arial"/>
          <w:sz w:val="22"/>
          <w:szCs w:val="22"/>
          <w:color w:val="auto"/>
        </w:rPr>
      </w:pPr>
    </w:p>
    <w:p>
      <w:pPr>
        <w:ind w:left="980" w:right="40" w:hanging="324"/>
        <w:spacing w:after="0" w:line="293" w:lineRule="auto"/>
        <w:tabs>
          <w:tab w:leader="none" w:pos="975" w:val="left"/>
        </w:tabs>
        <w:numPr>
          <w:ilvl w:val="0"/>
          <w:numId w:val="5"/>
        </w:numPr>
        <w:rPr>
          <w:rFonts w:ascii="Arial" w:cs="Arial" w:eastAsia="Arial" w:hAnsi="Arial"/>
          <w:sz w:val="22"/>
          <w:szCs w:val="22"/>
          <w:color w:val="auto"/>
        </w:rPr>
      </w:pPr>
      <w:r>
        <w:rPr>
          <w:rFonts w:ascii="Arial" w:cs="Arial" w:eastAsia="Arial" w:hAnsi="Arial"/>
          <w:sz w:val="20"/>
          <w:szCs w:val="20"/>
          <w:color w:val="auto"/>
        </w:rPr>
        <w:t>a fraction of a share of New Match common stock with a value of $3.00, calculated based on the Match VWAP (as defined in the Transaction Agreement) (an “Additional Stock Election”).</w:t>
      </w:r>
    </w:p>
    <w:p>
      <w:pPr>
        <w:spacing w:after="0" w:line="85" w:lineRule="exact"/>
        <w:rPr>
          <w:sz w:val="20"/>
          <w:szCs w:val="20"/>
          <w:color w:val="auto"/>
        </w:rPr>
      </w:pPr>
    </w:p>
    <w:p>
      <w:pPr>
        <w:ind w:right="40"/>
        <w:spacing w:after="0" w:line="328" w:lineRule="auto"/>
        <w:rPr>
          <w:sz w:val="20"/>
          <w:szCs w:val="20"/>
          <w:color w:val="auto"/>
        </w:rPr>
      </w:pPr>
      <w:r>
        <w:rPr>
          <w:rFonts w:ascii="Arial" w:cs="Arial" w:eastAsia="Arial" w:hAnsi="Arial"/>
          <w:sz w:val="19"/>
          <w:szCs w:val="19"/>
          <w:color w:val="auto"/>
        </w:rPr>
        <w:t>As of 5:00 p.m. New York City time on June 25, 2020, the election deadline, there were 5,228,526 Cash Elections and 23,236,301 Additional Stock Elections made and not withdrawn in respect of shares of Match common stock. Match stockholders who did not validly make an election are deemed to have made an Additional Stock Election with respect to their shares of Match common stock.</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 Offer or Solicitation / Additional Information and Where To Find It</w:t>
      </w:r>
    </w:p>
    <w:p>
      <w:pPr>
        <w:spacing w:after="0" w:line="11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212529"/>
        </w:rPr>
        <w:t>This communication is for informational purposes only and does not constitute an offer to sell or the solicitation of an offer to buy any securities, or a solicitation of any vote or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8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212529"/>
        </w:rPr>
        <w:t>This communication is being made in respect of a proposed transaction involving IAC, New IAC, and Match. In connection with the proposed transaction, on April 28, 2020, IAC and New IAC filed with the Securities and Exchange Commission (the “SEC”) an amendment to the joint registration statement on Form S-4 filed on February 13, 2020 (the “Form S-4”) that includes a joint proxy statement of IAC and Match. The Form S-4 was declared effective by the SEC on April 30, 2020, and IAC and Match commenced mailing the joint proxy statement/prospectus to stockholders of IAC and stockholders of Match on or about May 4, 2020. Each party will file other documents regarding the proposed transaction with the SEC. IAC, New IAC and Match may file one or more other documents with the SEC. This communication is not a substitute for the joint proxy statement/prospectus or any other document that may be filed with the SEC in connection with the proposed transaction.</w:t>
      </w:r>
    </w:p>
    <w:p>
      <w:pPr>
        <w:spacing w:after="0" w:line="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12529"/>
        </w:rPr>
        <w:t>INVESTORS AND SECURITY HOLDERS OF IAC AND MATCH ARE URGED TO READ THE DEFINITIVE JOINT PROXY STATEMENT/PROSPECTUS AND OTHER DOCUMENTS FILED WITH THE SEC CAREFULLY AND IN THEIR ENTIRETY WHEN THEY BECOME AVAILABLE BECAUSE THEY WILL CONTAIN IMPORTANT INFORMATION ABOUT THE PROPOSED TRANSACTION.</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12529"/>
        </w:rPr>
        <w:t>Investors and security holders will be able to obtain these materials (when they are available) and other documents filed with the SEC free of charge at the SEC’s website, www.sec.gov. Copies of documents filed with the SEC by IAC (when they become available) may be obtained free of charge on IAC’s website at www.iac.com. Copies of documents filed with the SEC by Match (when they become available) may also be obtained free of charge on Match’s website at www.mtch.com.</w:t>
      </w:r>
    </w:p>
    <w:p>
      <w:pPr>
        <w:sectPr>
          <w:pgSz w:w="11900" w:h="16838" w:orient="portrait"/>
          <w:cols w:equalWidth="0" w:num="1">
            <w:col w:w="11240"/>
          </w:cols>
          <w:pgMar w:left="320" w:top="1440" w:right="339" w:bottom="1440" w:gutter="0" w:footer="0" w:header="0"/>
        </w:sectPr>
      </w:pPr>
    </w:p>
    <w:bookmarkStart w:id="4" w:name="page5"/>
    <w:bookmarkEnd w:id="4"/>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ectPr>
          <w:pgSz w:w="11900" w:h="16838" w:orient="portrait"/>
          <w:cols w:equalWidth="0" w:num="1">
            <w:col w:w="10139"/>
          </w:cols>
          <w:pgMar w:left="320" w:top="1440" w:right="1440"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9"/>
          <w:szCs w:val="19"/>
          <w:b w:val="1"/>
          <w:bCs w:val="1"/>
          <w:color w:val="auto"/>
        </w:rPr>
        <w:t>Exhibit</w:t>
      </w:r>
    </w:p>
    <w:p>
      <w:pPr>
        <w:jc w:val="right"/>
        <w:spacing w:after="0"/>
        <w:rPr>
          <w:sz w:val="20"/>
          <w:szCs w:val="20"/>
          <w:color w:val="auto"/>
        </w:rPr>
      </w:pPr>
      <w:r>
        <w:rPr>
          <w:rFonts w:ascii="Arial" w:cs="Arial" w:eastAsia="Arial" w:hAnsi="Arial"/>
          <w:sz w:val="20"/>
          <w:szCs w:val="20"/>
          <w:b w:val="1"/>
          <w:bCs w:val="1"/>
          <w:u w:val="single" w:color="auto"/>
          <w:color w:val="auto"/>
        </w:rPr>
        <w:t>Number</w:t>
      </w:r>
    </w:p>
    <w:p>
      <w:pPr>
        <w:spacing w:after="0" w:line="4" w:lineRule="exact"/>
        <w:rPr>
          <w:sz w:val="20"/>
          <w:szCs w:val="20"/>
          <w:color w:val="auto"/>
        </w:rPr>
      </w:pPr>
    </w:p>
    <w:p>
      <w:pPr>
        <w:jc w:val="center"/>
        <w:ind w:left="480"/>
        <w:spacing w:after="0"/>
        <w:rPr>
          <w:rFonts w:ascii="Arial" w:cs="Arial" w:eastAsia="Arial" w:hAnsi="Arial"/>
          <w:sz w:val="20"/>
          <w:szCs w:val="20"/>
          <w:u w:val="single" w:color="auto"/>
          <w:color w:val="0000FF"/>
        </w:rPr>
      </w:pPr>
      <w:hyperlink w:anchor="page7">
        <w:r>
          <w:rPr>
            <w:rFonts w:ascii="Arial" w:cs="Arial" w:eastAsia="Arial" w:hAnsi="Arial"/>
            <w:sz w:val="20"/>
            <w:szCs w:val="20"/>
            <w:u w:val="single" w:color="auto"/>
            <w:color w:val="0000FF"/>
          </w:rPr>
          <w:t>99.1</w:t>
        </w:r>
      </w:hyperlink>
    </w:p>
    <w:p>
      <w:pPr>
        <w:spacing w:after="0" w:line="19" w:lineRule="exact"/>
        <w:rPr>
          <w:sz w:val="20"/>
          <w:szCs w:val="20"/>
          <w:color w:val="auto"/>
        </w:rPr>
      </w:pPr>
    </w:p>
    <w:p>
      <w:pPr>
        <w:jc w:val="center"/>
        <w:ind w:left="480"/>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Description</w:t>
      </w:r>
    </w:p>
    <w:p>
      <w:pPr>
        <w:spacing w:after="0" w:line="46" w:lineRule="exact"/>
        <w:rPr>
          <w:sz w:val="20"/>
          <w:szCs w:val="20"/>
          <w:color w:val="auto"/>
        </w:rPr>
      </w:pPr>
    </w:p>
    <w:p>
      <w:pPr>
        <w:spacing w:after="0"/>
        <w:rPr>
          <w:rFonts w:ascii="Arial" w:cs="Arial" w:eastAsia="Arial" w:hAnsi="Arial"/>
          <w:sz w:val="20"/>
          <w:szCs w:val="20"/>
          <w:u w:val="single" w:color="auto"/>
          <w:color w:val="0000FF"/>
        </w:rPr>
      </w:pPr>
      <w:hyperlink w:anchor="page7">
        <w:r>
          <w:rPr>
            <w:rFonts w:ascii="Arial" w:cs="Arial" w:eastAsia="Arial" w:hAnsi="Arial"/>
            <w:sz w:val="20"/>
            <w:szCs w:val="20"/>
            <w:u w:val="single" w:color="auto"/>
            <w:color w:val="0000FF"/>
          </w:rPr>
          <w:t>Joint Press Release, dated June 25,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-143510</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Inline XBRL for the cover page of this Current Report on Form 8-K</w:t>
      </w:r>
    </w:p>
    <w:p>
      <w:pPr>
        <w:sectPr>
          <w:pgSz w:w="11900" w:h="16838" w:orient="portrait"/>
          <w:cols w:equalWidth="0" w:num="2">
            <w:col w:w="1180" w:space="500"/>
            <w:col w:w="8459"/>
          </w:cols>
          <w:pgMar w:left="320" w:top="1440" w:right="1440" w:bottom="1440" w:gutter="0" w:footer="0" w:header="0"/>
          <w:type w:val="continuous"/>
        </w:sectPr>
      </w:pPr>
    </w:p>
    <w:bookmarkStart w:id="5" w:name="page6"/>
    <w:bookmarkEnd w:id="5"/>
    <w:p>
      <w:pPr>
        <w:spacing w:after="0" w:line="108"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SIGNATURE</w:t>
      </w:r>
    </w:p>
    <w:p>
      <w:pPr>
        <w:spacing w:after="0" w:line="3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MATCH GROUP, INC.</w:t>
      </w:r>
    </w:p>
    <w:p>
      <w:pPr>
        <w:spacing w:after="0" w:line="310" w:lineRule="exact"/>
        <w:rPr>
          <w:sz w:val="20"/>
          <w:szCs w:val="20"/>
          <w:color w:val="auto"/>
        </w:rPr>
      </w:pPr>
    </w:p>
    <w:p>
      <w:pPr>
        <w:ind w:left="4540"/>
        <w:spacing w:after="0"/>
        <w:tabs>
          <w:tab w:leader="none" w:pos="52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Jared 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27305</wp:posOffset>
            </wp:positionV>
            <wp:extent cx="3823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47"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Jared Sine</w:t>
      </w:r>
    </w:p>
    <w:p>
      <w:pPr>
        <w:spacing w:after="0" w:line="54"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Chief Legal Officer and Secretary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Date: June 29, 2020</w:t>
      </w:r>
    </w:p>
    <w:p>
      <w:pPr>
        <w:sectPr>
          <w:pgSz w:w="11900" w:h="16838" w:orient="portrait"/>
          <w:cols w:equalWidth="0" w:num="1">
            <w:col w:w="10880"/>
          </w:cols>
          <w:pgMar w:left="320" w:top="1440" w:right="699" w:bottom="1440" w:gutter="0" w:footer="0" w:header="0"/>
        </w:sectPr>
      </w:pPr>
    </w:p>
    <w:bookmarkStart w:id="6" w:name="page7"/>
    <w:bookmarkEnd w:id="6"/>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915035</wp:posOffset>
            </wp:positionV>
            <wp:extent cx="1114425"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4425" cy="56578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915035</wp:posOffset>
            </wp:positionV>
            <wp:extent cx="2374265" cy="506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7426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IAC and Match Group Stockholders Approve Separation of Match Group from IAC</w:t>
      </w:r>
    </w:p>
    <w:p>
      <w:pPr>
        <w:spacing w:after="0" w:line="220"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NEW YORK and DALLAS, June 25, 2020—</w:t>
      </w:r>
      <w:r>
        <w:rPr>
          <w:rFonts w:ascii="Arial" w:cs="Arial" w:eastAsia="Arial" w:hAnsi="Arial"/>
          <w:sz w:val="19"/>
          <w:szCs w:val="19"/>
          <w:color w:val="auto"/>
        </w:rPr>
        <w:t>IAC (NASDAQ: IAC) (“IAC”) and Match Group, Inc. (NASDAQ: MTCH)</w:t>
      </w:r>
      <w:r>
        <w:rPr>
          <w:rFonts w:ascii="Arial" w:cs="Arial" w:eastAsia="Arial" w:hAnsi="Arial"/>
          <w:sz w:val="19"/>
          <w:szCs w:val="19"/>
          <w:b w:val="1"/>
          <w:bCs w:val="1"/>
          <w:color w:val="auto"/>
        </w:rPr>
        <w:t xml:space="preserve"> </w:t>
      </w:r>
      <w:r>
        <w:rPr>
          <w:rFonts w:ascii="Arial" w:cs="Arial" w:eastAsia="Arial" w:hAnsi="Arial"/>
          <w:sz w:val="19"/>
          <w:szCs w:val="19"/>
          <w:color w:val="auto"/>
        </w:rPr>
        <w:t>(“Match Group”) today announced that at their respective stockholder meetings held today, IAC and Match Group stockholders voted to approve all proposals required to complete the separation of Match Group from the remaining businesses of IAC pursuant to the previously announced Transaction Agreement, dated as of December 19, 2019 and amended on April 28, 2020 and June 22, 2020 (the “Transaction Agreement”), by and among IAC, Match Group, IAC Holdings, Inc. (“New IAC”), and Valentine Merger Sub LLC, including a vote of a majority of the shares held by the disinterested stockholders of Match Group.</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IAC and Match Group anticipate that the separation will be completed after the close of business on June 30, 2020, subject to the satisfaction or waiver of all closing conditions.</w:t>
      </w:r>
    </w:p>
    <w:p>
      <w:pPr>
        <w:spacing w:after="0" w:line="175"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final vote results on the proposals voted on at the IAC annual meeting and the Match Group special meeting will be set forth in separate Form 8-Ks filed by each of IAC and Match Group upon final certification by each company’s inspector of elections.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IAC</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IAC (NASDAQ: IAC) builds companies. We are guided by curiosity, a questioning of the status quo, and a desire to invent or acquire new products and brands. From the single seed that started as IAC over two decades ago have emerged 10 public companies and generations of exceptional leaders. We will always evolve, but our basic principles of financially-disciplined opportunism will never change. IAC today operates Vimeo, Dotdash and Care.com, among many others, and also has majority ownership of both Match Group, which includes Tinder, Match, PlentyOfFish, OkCupid and Hinge, and ANGI Homeservices, which includes HomeAdvisor, Angie's List and Handy. The Company is headquartered in New York City and has business operations and satellite offices worldwide.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Match Group</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Match Group (NASDAQ: MTCH), through its portfolio companies, is a leading provider of dating products available globally. Our portfolio of brands includes Tinder®, Match®, Meetic®, OkCupid®, Hinge®, Pairs™, PlentyOfFish®, and OurTime®, as well as a number of other brands, each designed to increase our users’ likelihood of finding a meaningful connection. Through our portfolio companies and their trusted brands, we provide tailored products to meet the varying preferences of our users. Our products are available in over 40 languages to users all over the world.</w:t>
      </w:r>
    </w:p>
    <w:p>
      <w:pPr>
        <w:sectPr>
          <w:pgSz w:w="11900" w:h="16838" w:orient="portrait"/>
          <w:cols w:equalWidth="0" w:num="1">
            <w:col w:w="11240"/>
          </w:cols>
          <w:pgMar w:left="320" w:top="121" w:right="339" w:bottom="1440" w:gutter="0" w:footer="0" w:header="0"/>
        </w:sectPr>
      </w:pPr>
    </w:p>
    <w:bookmarkStart w:id="7" w:name="page8"/>
    <w:bookmarkEnd w:id="7"/>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 </w:t>
      </w:r>
      <w:r>
        <w:rPr>
          <w:rFonts w:ascii="Arial" w:cs="Arial" w:eastAsia="Arial" w:hAnsi="Arial"/>
          <w:sz w:val="22"/>
          <w:szCs w:val="22"/>
          <w:b w:val="1"/>
          <w:bCs w:val="1"/>
          <w:color w:val="212529"/>
        </w:rPr>
        <w:t>Offer or Solicitation / Additional Information and Where to Find It</w:t>
      </w:r>
    </w:p>
    <w:p>
      <w:pPr>
        <w:spacing w:after="0" w:line="22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212529"/>
        </w:rPr>
        <w:t>This communication is for informational purposes only and does not constitute an offer to sell or the solicitation of an offer to buy any securities, or a solicitation of any vote or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4"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212529"/>
        </w:rPr>
        <w:t>This communication is being made in respect of a proposed transaction involving IAC, New IAC and Match Group. In connection with the proposed transaction, on April 28, 2020, IAC and New IAC filed with the Securities and Exchange Commission (the “SEC”) an amendment to the joint registration statement on Form S-4 filed on February 13, 2020 (the “Form S-4”) that includes a joint proxy statement of IAC and Match Group. The Form S-4 was declared effective by the SEC on April 30, 2020, and IAC and Match Group commenced mailing the joint proxy statement/prospectus to stockholders of IAC and stockholders of Match Group on or about May 4, 2020. Each party will file other documents regarding the proposed transaction with the SEC. IAC, New IAC and Match Group may file one or more other documents with the SEC. This communication is not a substitute for the joint proxy statement/prospectus or any other document that may be filed with the SEC in connection with the proposed transaction.</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212529"/>
        </w:rPr>
        <w:t>INVESTORS AND SECURITY HOLDERS OF IAC AND MATCH GROUP ARE URGED TO READ THE DEFINITIVE JOINT PROXY STATEMENT/PROSPECTUS AND OTHER DOCUMENTS FILED WITH THE SEC CAREFULLY AND IN THEIR ENTIRETY WHEN THEY BECOME AVAILABLE BECAUSE THEY WILL CONTAIN IMPORTANT INFORMATION ABOUT THE PROPOSED TRANSACTION.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212529"/>
        </w:rPr>
        <w:t>Investors and security holders will be able to obtain these materials (when they are available) and other documents filed with the SEC free of charge at the SEC’s website, www.sec.gov. Copies of documents filed with the SEC by IAC (when they become available) may be obtained free of charge on IAC’s website at www.iac.com. Copies of documents filed with the SEC by Match Group (when they become available) may be obtained free of charge on Match Group’s website at www.mtch.com.</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212529"/>
        </w:rPr>
        <w:t>Forward-Looking Statements</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212529"/>
        </w:rPr>
        <w:t>Certain statements and information in this communication may be deemed to be “forward-looking statements” within the meaning of the Federal Private Securities Litigation Reform Act of 1995. Forward-looking statements may include, but are not limited to, statements relating to IAC’s and Match Group’s anticipated financial performance, objectives, plans and strategies, and all statements (other than statements of historical facts) that address activities, events or developments that IAC and Match Group intend, expect, project, believe or anticipate will or may occur in the future. These statements are often characterized by terminology such as “believe,” “hope,” “may,” “anticipate,” “should,” “intend,” “plan,” “will,” “expect,” “estimate,” “project,” “positioned,” “strategy” and similar expressions, and are based on assumptions and assessments made by IAC’s and Match Group’s management in light of their experience and their perception of historical trends, current conditions, expected future developments, and other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8" w:name="page9"/>
    <w:bookmarkEnd w:id="8"/>
    <w:p>
      <w:pPr>
        <w:spacing w:after="0" w:line="20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212529"/>
        </w:rPr>
        <w:t>factors they believe to be appropriate. IAC and Match Group undertake no duty to update or revise any such statements, whether as a result of new information, future events or otherwise. Forward-looking statements are not guarantees of future performance. Whether actual results will conform to expectations and predictions is subject to known and unknown risks and uncertainties, including: risks and uncertainties discussed in the joint proxy statement/prospectus and other reports that IAC and Match Group have filed with the SEC, competition, Match Group’s ability to maintain user rates on its higher-monetizing dating products, the companies’ ability to attract users to their products and services through cost-effective marketing and related efforts, changes in the companies’ relationship with (or policies implemented by) Google, foreign currency exchange rate fluctuations, Match Group’s ability to distribute their products through third parties and offset related fees, the integrity and scalability of the companies’ systems and infrastructure (and those of third parties) and the companies’ ability to adapt their systems and infrastructure to changes in a timely and cost-effective manner, the companies’ ability to protect their systems from cyberattacks and to protect personal and confidential user information, risks relating to certain of the companies’ international operations and acquisitions, the impact of the outbreak of the COVID-19 coronavirus, or any subsequent or similar epidemic or pandemic, the risks inherent in separating Match Group from IAC, including uncertainties related to, among other things, the costs and expected benefits of the proposed transaction, the calculation of, and factors that may impact the calculation of, the exchange ratio at which shares of IAC capital stock will be converted into the right to receive new shares of the post-separation Match Group in connection with the transaction, the expected timing of the transaction or whether it will be completed, whether the conditions to the transaction can be satisfied or any event, change or other circumstance occurs that could give rise to the termination of the Transaction Agreement (including the failure to receive any required approvals from the stockholders of IAC and Match Group or any required regulatory approvals), any litigation arising out of or relating to the proposed transaction, the expected tax treatment of the transaction, and the impact of the transaction on the businesses of IAC and Match Group, and other circumstances beyond IAC’s and Match Group’s control. You should not place undue reliance on these forward-looking statements. For more details on factors that could affect these expectations, please see IAC’s and Match Group’s filings with the SEC, including the joint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u w:val="single" w:color="auto"/>
          <w:color w:val="auto"/>
        </w:rPr>
        <w:t>Contact Us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IAC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Mark Schneider</w:t>
      </w:r>
    </w:p>
    <w:p>
      <w:pPr>
        <w:spacing w:after="0"/>
        <w:rPr>
          <w:sz w:val="20"/>
          <w:szCs w:val="20"/>
          <w:color w:val="auto"/>
        </w:rPr>
      </w:pPr>
      <w:r>
        <w:rPr>
          <w:rFonts w:ascii="Arial" w:cs="Arial" w:eastAsia="Arial" w:hAnsi="Arial"/>
          <w:sz w:val="22"/>
          <w:szCs w:val="22"/>
          <w:color w:val="auto"/>
        </w:rPr>
        <w:t>(212) 314-7400</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Match Group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Lance Barton</w:t>
      </w:r>
    </w:p>
    <w:p>
      <w:pPr>
        <w:spacing w:after="0"/>
        <w:rPr>
          <w:sz w:val="20"/>
          <w:szCs w:val="20"/>
          <w:color w:val="auto"/>
        </w:rPr>
      </w:pPr>
      <w:r>
        <w:rPr>
          <w:rFonts w:ascii="Arial" w:cs="Arial" w:eastAsia="Arial" w:hAnsi="Arial"/>
          <w:sz w:val="22"/>
          <w:szCs w:val="22"/>
          <w:color w:val="auto"/>
        </w:rPr>
        <w:t>(212) 314-7400</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IAC Corporate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Valerie Combs</w:t>
      </w:r>
    </w:p>
    <w:p>
      <w:pPr>
        <w:spacing w:after="0"/>
        <w:rPr>
          <w:sz w:val="20"/>
          <w:szCs w:val="20"/>
          <w:color w:val="auto"/>
        </w:rPr>
      </w:pPr>
      <w:r>
        <w:rPr>
          <w:rFonts w:ascii="Arial" w:cs="Arial" w:eastAsia="Arial" w:hAnsi="Arial"/>
          <w:sz w:val="22"/>
          <w:szCs w:val="22"/>
          <w:color w:val="auto"/>
        </w:rPr>
        <w:t>(212) 314-7361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Match Group Corporate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Justine Sacco</w:t>
      </w:r>
    </w:p>
    <w:p>
      <w:pPr>
        <w:spacing w:after="0"/>
        <w:rPr>
          <w:sz w:val="20"/>
          <w:szCs w:val="20"/>
          <w:color w:val="auto"/>
        </w:rPr>
      </w:pPr>
      <w:r>
        <w:rPr>
          <w:rFonts w:ascii="Arial" w:cs="Arial" w:eastAsia="Arial" w:hAnsi="Arial"/>
          <w:sz w:val="22"/>
          <w:szCs w:val="22"/>
          <w:color w:val="auto"/>
        </w:rPr>
        <w:t>(212) 314-7400</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SOURCE IAC; Match Group</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4</w:t>
      </w:r>
    </w:p>
    <w:sectPr>
      <w:pgSz w:w="11900" w:h="16838" w:orient="portrait"/>
      <w:cols w:equalWidth="0" w:num="1">
        <w:col w:w="10139"/>
      </w:cols>
      <w:pgMar w:left="320" w:top="14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Roman"/>
      <w:start w:val="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2020-06-30T09:30:48Z</dcterms:created>
  <dcterms:modified xsi:type="dcterms:W3CDTF">2020-06-30T09:30:48Z</dcterms:modified>
</cp:coreProperties>
</file>