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Pursuant to Section 13 OR 15(d) of the</w:t>
      </w: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2020</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IAC/INTERACTIVECORP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706" w:right="47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0-20570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File No.)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59-2712887</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320"/>
          </w:cols>
          <w:pgMar w:left="320" w:top="706" w:right="479"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555 West 18th Street</w:t>
      </w:r>
      <w:r>
        <w:rPr>
          <w:rFonts w:ascii="Arial" w:cs="Arial" w:eastAsia="Arial" w:hAnsi="Arial"/>
          <w:sz w:val="16"/>
          <w:szCs w:val="16"/>
          <w:color w:val="auto"/>
        </w:rPr>
        <w:t>,</w:t>
      </w:r>
      <w:r>
        <w:rPr>
          <w:rFonts w:ascii="Arial" w:cs="Arial" w:eastAsia="Arial" w:hAnsi="Arial"/>
          <w:sz w:val="16"/>
          <w:szCs w:val="16"/>
          <w:b w:val="1"/>
          <w:bCs w:val="1"/>
          <w:color w:val="auto"/>
        </w:rPr>
        <w:t xml:space="preserve"> New York</w:t>
      </w:r>
      <w:r>
        <w:rPr>
          <w:rFonts w:ascii="Arial" w:cs="Arial" w:eastAsia="Arial" w:hAnsi="Arial"/>
          <w:sz w:val="16"/>
          <w:szCs w:val="16"/>
          <w:color w:val="auto"/>
        </w:rPr>
        <w:t>,</w:t>
      </w:r>
      <w:r>
        <w:rPr>
          <w:rFonts w:ascii="Arial" w:cs="Arial" w:eastAsia="Arial" w:hAnsi="Arial"/>
          <w:sz w:val="16"/>
          <w:szCs w:val="16"/>
          <w:b w:val="1"/>
          <w:bCs w:val="1"/>
          <w:color w:val="auto"/>
        </w:rPr>
        <w:t xml:space="preserve"> NY</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706" w:right="479" w:bottom="144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314-7300</w:t>
      </w:r>
    </w:p>
    <w:p>
      <w:pPr>
        <w:spacing w:after="0" w:line="22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706" w:right="479" w:bottom="1440" w:gutter="0" w:footer="0" w:header="0"/>
          <w:type w:val="continuous"/>
        </w:sectPr>
      </w:pPr>
    </w:p>
    <w:p>
      <w:pPr>
        <w:spacing w:after="0" w:line="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Common Stock, par value $0.001</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IAC</w:t>
      </w:r>
    </w:p>
    <w:p>
      <w:pPr>
        <w:spacing w:after="0" w:line="20" w:lineRule="exact"/>
        <w:rPr>
          <w:sz w:val="24"/>
          <w:szCs w:val="24"/>
          <w:color w:val="auto"/>
        </w:rPr>
      </w:pPr>
      <w:r>
        <w:rPr>
          <w:sz w:val="24"/>
          <w:szCs w:val="24"/>
          <w:color w:val="auto"/>
        </w:rPr>
        <w:br w:type="column"/>
      </w:r>
    </w:p>
    <w:p>
      <w:pPr>
        <w:jc w:val="center"/>
        <w:spacing w:after="0" w:line="263" w:lineRule="auto"/>
        <w:rPr>
          <w:sz w:val="20"/>
          <w:szCs w:val="20"/>
          <w:color w:val="auto"/>
        </w:rPr>
      </w:pPr>
      <w:r>
        <w:rPr>
          <w:rFonts w:ascii="Arial" w:cs="Arial" w:eastAsia="Arial" w:hAnsi="Arial"/>
          <w:sz w:val="18"/>
          <w:szCs w:val="18"/>
          <w:color w:val="auto"/>
        </w:rPr>
        <w:t xml:space="preserve">(Name of each exchange on which registered) </w:t>
      </w:r>
      <w:r>
        <w:rPr>
          <w:rFonts w:ascii="Arial" w:cs="Arial" w:eastAsia="Arial" w:hAnsi="Arial"/>
          <w:sz w:val="18"/>
          <w:szCs w:val="18"/>
          <w:b w:val="1"/>
          <w:bCs w:val="1"/>
          <w:color w:val="auto"/>
        </w:rPr>
        <w:t>The Nasdaq Stock Market LLC (Nasdaq Global Select Market)</w:t>
      </w:r>
    </w:p>
    <w:p>
      <w:pPr>
        <w:spacing w:after="0" w:line="184" w:lineRule="exact"/>
        <w:rPr>
          <w:sz w:val="24"/>
          <w:szCs w:val="24"/>
          <w:color w:val="auto"/>
        </w:rPr>
      </w:pPr>
    </w:p>
    <w:p>
      <w:pPr>
        <w:sectPr>
          <w:pgSz w:w="11900" w:h="16838" w:orient="portrait"/>
          <w:cols w:equalWidth="0" w:num="3">
            <w:col w:w="4180" w:space="720"/>
            <w:col w:w="2180" w:space="720"/>
            <w:col w:w="3300"/>
          </w:cols>
          <w:pgMar w:left="320" w:top="706" w:right="479" w:bottom="1440" w:gutter="0" w:footer="0" w:header="0"/>
          <w:type w:val="continuous"/>
        </w:sect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06"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2020, IAC/InterActiveCorp, a Delaware corporation (“IAC”) and Match Group, Inc., a Delaware corporation (“Match”) initiated the corporate steps required to effect the consummation of the separation of Match from the remaining businesses of IAC, with the separation to take effect after the close of business on June 30, 2020, pursuant to the previously announced Transaction Agreement, dated as of December 19, 2019 and amended on April 28, 2020 and June 22, 2020 (the “Transaction Agreement”), by and among IAC, Match, IAC Holdings, Inc. (“New IAC”), and Valentine Merger Sub LLC. Upon close of the transaction, holders of IAC common stock are expected to be entitled to receive one share of New IAC common stock and 2.1584 shares of “new” Match common stock for each share of IAC common stock held immediately prior to the transaction. In addition, IAC and Match, respectively, have requested that the NASDAQ Global Select Market delist and suspend trading of the common stock of IAC, par value $0.001 per share (CUSIP: 44919P 508) and the common stock of Match, par value $0.001 per share (CUSIP: 57665R106).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 / Additional Information and Where to Find It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communication is being made in respect of a proposed transaction involving IAC, New IAC and Match. In connection with the proposed transaction, on April 28, 2020, IAC and New IAC filed with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INVESTORS AND SECURITY HOLDERS OF IAC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and information in this report may be deemed to be “forward-looking statements” within the meaning of the Federal Private Securities Litigation Reform Act of 1995. Forward-looking statements may include, but are not limited to, statements relating to IAC’s and Match’s anticipated financial performance, objectives, plans and strategies, and all statements (other than statements of historical facts) that address activities, events or developments that IAC and Match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Match’s management in light of their experience and their perception of historical trends, current conditions, expected future developments, and other factors they believe to be appropriate. IAC and Match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have filed with the SEC; competition; Match’s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the companies’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or any required regulatory approvals), any litigation arising out of or relating to the proposed transaction, the expected tax treatment of the transaction, and the impact of the transaction on the businesses of IAC and Match; and other circumstances beyond IAC’s and Match’s control. You should not place undue reliance on these forward-looking statements. For more details on factors that could affect these expectations, please see IAC’s and Match’s filings with the SEC, including the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IAC/INTERACTIVECORP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Gregg Winiarski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Gregg Winiarski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2020-06-30T16:12:52Z</dcterms:created>
  <dcterms:modified xsi:type="dcterms:W3CDTF">2020-06-30T16:12:52Z</dcterms:modified>
</cp:coreProperties>
</file>