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25, 2020</w:t>
      </w:r>
    </w:p>
    <w:p>
      <w:pPr>
        <w:spacing w:after="0" w:line="20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IAC/INTERACTIVECORP</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706" w:right="47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0-20570</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8"/>
          <w:szCs w:val="18"/>
          <w:color w:val="auto"/>
        </w:rPr>
        <w:t>File No.)</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59-2712887</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320"/>
          </w:cols>
          <w:pgMar w:left="320" w:top="706" w:right="479" w:bottom="1440" w:gutter="0" w:footer="0" w:header="0"/>
          <w:type w:val="continuous"/>
        </w:sectPr>
      </w:pPr>
    </w:p>
    <w:p>
      <w:pPr>
        <w:spacing w:after="0" w:line="7"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555 West 18th Street</w:t>
      </w:r>
      <w:r>
        <w:rPr>
          <w:rFonts w:ascii="Arial" w:cs="Arial" w:eastAsia="Arial" w:hAnsi="Arial"/>
          <w:sz w:val="16"/>
          <w:szCs w:val="16"/>
          <w:color w:val="auto"/>
        </w:rPr>
        <w:t>,</w:t>
      </w:r>
      <w:r>
        <w:rPr>
          <w:rFonts w:ascii="Arial" w:cs="Arial" w:eastAsia="Arial" w:hAnsi="Arial"/>
          <w:sz w:val="16"/>
          <w:szCs w:val="16"/>
          <w:b w:val="1"/>
          <w:bCs w:val="1"/>
          <w:color w:val="auto"/>
        </w:rPr>
        <w:t xml:space="preserve"> New York</w:t>
      </w:r>
      <w:r>
        <w:rPr>
          <w:rFonts w:ascii="Arial" w:cs="Arial" w:eastAsia="Arial" w:hAnsi="Arial"/>
          <w:sz w:val="16"/>
          <w:szCs w:val="16"/>
          <w:color w:val="auto"/>
        </w:rPr>
        <w:t>,</w:t>
      </w:r>
      <w:r>
        <w:rPr>
          <w:rFonts w:ascii="Arial" w:cs="Arial" w:eastAsia="Arial" w:hAnsi="Arial"/>
          <w:sz w:val="16"/>
          <w:szCs w:val="16"/>
          <w:b w:val="1"/>
          <w:bCs w:val="1"/>
          <w:color w:val="auto"/>
        </w:rPr>
        <w:t xml:space="preserve"> NY</w:t>
      </w:r>
    </w:p>
    <w:p>
      <w:pPr>
        <w:spacing w:after="0" w:line="50" w:lineRule="exact"/>
        <w:rPr>
          <w:sz w:val="24"/>
          <w:szCs w:val="24"/>
          <w:color w:val="auto"/>
        </w:rPr>
      </w:pPr>
    </w:p>
    <w:p>
      <w:pPr>
        <w:ind w:lef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220"/>
        <w:spacing w:after="0"/>
        <w:rPr>
          <w:sz w:val="20"/>
          <w:szCs w:val="20"/>
          <w:color w:val="auto"/>
        </w:rPr>
      </w:pPr>
      <w:r>
        <w:rPr>
          <w:rFonts w:ascii="Arial" w:cs="Arial" w:eastAsia="Arial" w:hAnsi="Arial"/>
          <w:sz w:val="18"/>
          <w:szCs w:val="18"/>
          <w:b w:val="1"/>
          <w:bCs w:val="1"/>
          <w:color w:val="auto"/>
        </w:rPr>
        <w:t>10011</w:t>
      </w:r>
    </w:p>
    <w:p>
      <w:pPr>
        <w:spacing w:after="0" w:line="27" w:lineRule="exact"/>
        <w:rPr>
          <w:sz w:val="24"/>
          <w:szCs w:val="24"/>
          <w:color w:val="auto"/>
        </w:rPr>
      </w:pPr>
    </w:p>
    <w:p>
      <w:pPr>
        <w:jc w:val="center"/>
        <w:ind w:right="22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000"/>
          </w:cols>
          <w:pgMar w:left="320" w:top="706" w:right="479" w:bottom="1440" w:gutter="0" w:footer="0" w:header="0"/>
          <w:type w:val="continuous"/>
        </w:sectPr>
      </w:pPr>
    </w:p>
    <w:p>
      <w:pPr>
        <w:spacing w:after="0" w:line="3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314-7300</w:t>
      </w:r>
    </w:p>
    <w:p>
      <w:pPr>
        <w:spacing w:after="0" w:line="229"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40" w:firstLine="8"/>
        <w:spacing w:after="0" w:line="500" w:lineRule="auto"/>
        <w:tabs>
          <w:tab w:leader="none" w:pos="207"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00"/>
          </w:cols>
          <w:pgMar w:left="320" w:top="706" w:right="479" w:bottom="1440" w:gutter="0" w:footer="0" w:header="0"/>
          <w:type w:val="continuous"/>
        </w:sectPr>
      </w:pPr>
    </w:p>
    <w:p>
      <w:pPr>
        <w:spacing w:after="0" w:line="2" w:lineRule="exact"/>
        <w:rPr>
          <w:sz w:val="24"/>
          <w:szCs w:val="24"/>
          <w:color w:val="auto"/>
        </w:rPr>
      </w:pPr>
    </w:p>
    <w:p>
      <w:pPr>
        <w:jc w:val="center"/>
        <w:ind w:right="56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right="560"/>
        <w:spacing w:after="0"/>
        <w:rPr>
          <w:sz w:val="20"/>
          <w:szCs w:val="20"/>
          <w:color w:val="auto"/>
        </w:rPr>
      </w:pPr>
      <w:r>
        <w:rPr>
          <w:rFonts w:ascii="Arial" w:cs="Arial" w:eastAsia="Arial" w:hAnsi="Arial"/>
          <w:sz w:val="16"/>
          <w:szCs w:val="16"/>
          <w:b w:val="1"/>
          <w:bCs w:val="1"/>
          <w:color w:val="auto"/>
        </w:rPr>
        <w:t>Common Stock, par value $0.001</w:t>
      </w:r>
    </w:p>
    <w:p>
      <w:pPr>
        <w:spacing w:after="0" w:line="20" w:lineRule="exact"/>
        <w:rPr>
          <w:sz w:val="24"/>
          <w:szCs w:val="24"/>
          <w:color w:val="auto"/>
        </w:rPr>
      </w:pPr>
      <w:r>
        <w:rPr>
          <w:sz w:val="24"/>
          <w:szCs w:val="24"/>
          <w:color w:val="auto"/>
        </w:rPr>
        <w:br w:type="column"/>
      </w:r>
    </w:p>
    <w:p>
      <w:pPr>
        <w:jc w:val="center"/>
        <w:ind w:right="700"/>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IAC</w:t>
      </w:r>
    </w:p>
    <w:p>
      <w:pPr>
        <w:spacing w:after="0" w:line="20" w:lineRule="exact"/>
        <w:rPr>
          <w:sz w:val="24"/>
          <w:szCs w:val="24"/>
          <w:color w:val="auto"/>
        </w:rPr>
      </w:pPr>
      <w:r>
        <w:rPr>
          <w:sz w:val="24"/>
          <w:szCs w:val="24"/>
          <w:color w:val="auto"/>
        </w:rPr>
        <w:br w:type="column"/>
      </w:r>
    </w:p>
    <w:p>
      <w:pPr>
        <w:jc w:val="center"/>
        <w:spacing w:after="0" w:line="263" w:lineRule="auto"/>
        <w:rPr>
          <w:sz w:val="20"/>
          <w:szCs w:val="20"/>
          <w:color w:val="auto"/>
        </w:rPr>
      </w:pPr>
      <w:r>
        <w:rPr>
          <w:rFonts w:ascii="Arial" w:cs="Arial" w:eastAsia="Arial" w:hAnsi="Arial"/>
          <w:sz w:val="18"/>
          <w:szCs w:val="18"/>
          <w:color w:val="auto"/>
        </w:rPr>
        <w:t xml:space="preserve">(Name of each exchange on which registered) </w:t>
      </w:r>
      <w:r>
        <w:rPr>
          <w:rFonts w:ascii="Arial" w:cs="Arial" w:eastAsia="Arial" w:hAnsi="Arial"/>
          <w:sz w:val="18"/>
          <w:szCs w:val="18"/>
          <w:b w:val="1"/>
          <w:bCs w:val="1"/>
          <w:color w:val="auto"/>
        </w:rPr>
        <w:t>The Nasdaq Stock Market LLC (Nasdaq Global Select Market)</w:t>
      </w:r>
    </w:p>
    <w:p>
      <w:pPr>
        <w:spacing w:after="0" w:line="184" w:lineRule="exact"/>
        <w:rPr>
          <w:sz w:val="24"/>
          <w:szCs w:val="24"/>
          <w:color w:val="auto"/>
        </w:rPr>
      </w:pPr>
    </w:p>
    <w:p>
      <w:pPr>
        <w:sectPr>
          <w:pgSz w:w="11900" w:h="16838" w:orient="portrait"/>
          <w:cols w:equalWidth="0" w:num="3">
            <w:col w:w="4180" w:space="720"/>
            <w:col w:w="2180" w:space="720"/>
            <w:col w:w="3300"/>
          </w:cols>
          <w:pgMar w:left="320" w:top="706" w:right="479" w:bottom="1440" w:gutter="0" w:footer="0" w:header="0"/>
          <w:type w:val="continuous"/>
        </w:sectPr>
      </w:pPr>
    </w:p>
    <w:p>
      <w:pPr>
        <w:ind w:right="3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339090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706" w:right="47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June 25, 2020, IAC/InterActiveCorp (“IAC” or the “Company”) held its Annual Meeting of Stockholders (the “Annual Meeting”). At the Annual Meeting, stockholders of the Company voted on the proposals set forth below. The proposals are described in detail in the definitive joint proxy statement/prospectus filed on April 30, 2020 by the Company with the U.S. Securities and Exchange Commission (the “SEC”). The final voting results on each of the matters submitted to a vote of the Company’s stockholders at the Annual Meeting are set forth below.</w:t>
      </w:r>
    </w:p>
    <w:p>
      <w:pPr>
        <w:spacing w:after="0" w:line="18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As of the close of business on May 4, 2020, the record date for the Annual Meeting, there were 79,246,026 shares of IAC common stock (entitled to one vote per share) and 5,789,499 shares of IAC Class B common stock (entitled to ten votes per share) outstanding and entitled to vote on the record date for the Annual Meeting.</w:t>
      </w:r>
    </w:p>
    <w:p>
      <w:pPr>
        <w:spacing w:after="0" w:line="184" w:lineRule="exact"/>
        <w:rPr>
          <w:sz w:val="20"/>
          <w:szCs w:val="20"/>
          <w:color w:val="auto"/>
        </w:rPr>
      </w:pPr>
    </w:p>
    <w:p>
      <w:pPr>
        <w:ind w:left="340" w:right="20" w:hanging="332"/>
        <w:spacing w:after="0" w:line="296" w:lineRule="auto"/>
        <w:tabs>
          <w:tab w:leader="none" w:pos="421" w:val="left"/>
        </w:tabs>
        <w:numPr>
          <w:ilvl w:val="0"/>
          <w:numId w:val="3"/>
        </w:numPr>
        <w:rPr>
          <w:rFonts w:ascii="Arial" w:cs="Arial" w:eastAsia="Arial" w:hAnsi="Arial"/>
          <w:sz w:val="16"/>
          <w:szCs w:val="16"/>
          <w:color w:val="auto"/>
        </w:rPr>
      </w:pPr>
      <w:r>
        <w:rPr>
          <w:rFonts w:ascii="Arial" w:cs="Arial" w:eastAsia="Arial" w:hAnsi="Arial"/>
          <w:sz w:val="16"/>
          <w:szCs w:val="16"/>
          <w:color w:val="auto"/>
        </w:rPr>
        <w:t>A proposal to approve amendments to the IAC certificate of incorporation that will effect the separation of the businesses of Match Group, Inc. (“Match”) from the remaining businesses of IAC through a series of transactions (the “Separation”) that will result in the pre-transaction stockholders of IAC owning shares in two, separate public companies—(1) IAC, which will be renamed “Match Group, Inc.” and which will own the businesses of Match and certain IAC financing subsidiaries (“New Match”), and (2) IAC Holdings, Inc., a Delaware corporation and currently a direct wholly owned subsidiary of IAC (“New IAC”), which will be renamed “IAC/InterActiveCorp” and which will own IAC’s other businesses—by:</w:t>
      </w:r>
    </w:p>
    <w:p>
      <w:pPr>
        <w:spacing w:after="0" w:line="161" w:lineRule="exact"/>
        <w:rPr>
          <w:rFonts w:ascii="Arial" w:cs="Arial" w:eastAsia="Arial" w:hAnsi="Arial"/>
          <w:sz w:val="16"/>
          <w:szCs w:val="16"/>
          <w:color w:val="auto"/>
        </w:rPr>
      </w:pPr>
    </w:p>
    <w:p>
      <w:pPr>
        <w:ind w:left="660" w:right="180" w:hanging="328"/>
        <w:spacing w:after="0" w:line="263"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Reclassifying each share of IAC common stock into a number of new shares of IAC Class M common stock equal to the Reclassification Exchange Ratio and one share of IAC series 1 mandatorily exchangeable preferred stock that will automatically exchange into one share of New IAC common stock immediately following the reclassification; and</w:t>
      </w:r>
    </w:p>
    <w:p>
      <w:pPr>
        <w:spacing w:after="0" w:line="183" w:lineRule="exact"/>
        <w:rPr>
          <w:rFonts w:ascii="Arial" w:cs="Arial" w:eastAsia="Arial" w:hAnsi="Arial"/>
          <w:sz w:val="18"/>
          <w:szCs w:val="18"/>
          <w:color w:val="auto"/>
        </w:rPr>
      </w:pPr>
    </w:p>
    <w:p>
      <w:pPr>
        <w:ind w:left="660" w:right="140" w:hanging="328"/>
        <w:spacing w:after="0" w:line="263"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Reclassifying each share of IAC Class B common stock into a number of shares of IAC Class M common stock equal to the Reclassification Exchange Ratio and one share of IAC series 2 mandatorily exchangeable preferred stock, that will automatically exchange into one share of New IAC Class B common stock immediately following the reclassification.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proposal was approved on the basis of the following voting results: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gridSpan w:val="2"/>
          </w:tcPr>
          <w:p>
            <w:pPr>
              <w:ind w:left="180"/>
              <w:spacing w:after="0"/>
              <w:rPr>
                <w:sz w:val="20"/>
                <w:szCs w:val="20"/>
                <w:color w:val="auto"/>
              </w:rPr>
            </w:pPr>
            <w:r>
              <w:rPr>
                <w:rFonts w:ascii="Arial" w:cs="Arial" w:eastAsia="Arial" w:hAnsi="Arial"/>
                <w:sz w:val="18"/>
                <w:szCs w:val="18"/>
                <w:color w:val="auto"/>
              </w:rPr>
              <w:t>a)    IAC common stock</w:t>
            </w: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414"/>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9"/>
              </w:rPr>
              <w:t>BROKER NON-</w:t>
            </w:r>
          </w:p>
        </w:tc>
      </w:tr>
      <w:tr>
        <w:trPr>
          <w:trHeight w:val="234"/>
        </w:trPr>
        <w:tc>
          <w:tcPr>
            <w:tcW w:w="3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FOR</w:t>
            </w:r>
          </w:p>
        </w:tc>
        <w:tc>
          <w:tcPr>
            <w:tcW w:w="2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AGAINST</w:t>
            </w: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ABSTAIN</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8"/>
              </w:rPr>
              <w:t>VOTES</w:t>
            </w:r>
          </w:p>
        </w:tc>
      </w:tr>
      <w:tr>
        <w:trPr>
          <w:trHeight w:val="210"/>
        </w:trPr>
        <w:tc>
          <w:tcPr>
            <w:tcW w:w="3380" w:type="dxa"/>
            <w:vAlign w:val="bottom"/>
            <w:tcBorders>
              <w:top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rPr>
              <w:t>56,760,558</w:t>
            </w:r>
          </w:p>
        </w:tc>
        <w:tc>
          <w:tcPr>
            <w:tcW w:w="1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21,829</w:t>
            </w:r>
          </w:p>
        </w:tc>
        <w:tc>
          <w:tcPr>
            <w:tcW w:w="1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11,746</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4,780,577</w:t>
            </w:r>
          </w:p>
        </w:tc>
      </w:tr>
    </w:tbl>
    <w:p>
      <w:pPr>
        <w:spacing w:after="0" w:line="202" w:lineRule="exact"/>
        <w:rPr>
          <w:sz w:val="20"/>
          <w:szCs w:val="20"/>
          <w:color w:val="auto"/>
        </w:rPr>
      </w:pPr>
    </w:p>
    <w:p>
      <w:pPr>
        <w:ind w:left="640" w:hanging="464"/>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IAC Class B common stock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9"/>
              </w:rPr>
              <w:t>BROKER NON-</w:t>
            </w:r>
          </w:p>
        </w:tc>
      </w:tr>
      <w:tr>
        <w:trPr>
          <w:trHeight w:val="234"/>
        </w:trPr>
        <w:tc>
          <w:tcPr>
            <w:tcW w:w="3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FOR</w:t>
            </w:r>
          </w:p>
        </w:tc>
        <w:tc>
          <w:tcPr>
            <w:tcW w:w="2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AGAINST</w:t>
            </w: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ABSTAIN</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8"/>
              </w:rPr>
              <w:t>VOTES</w:t>
            </w:r>
          </w:p>
        </w:tc>
      </w:tr>
      <w:tr>
        <w:trPr>
          <w:trHeight w:val="209"/>
        </w:trPr>
        <w:tc>
          <w:tcPr>
            <w:tcW w:w="3380" w:type="dxa"/>
            <w:vAlign w:val="bottom"/>
            <w:tcBorders>
              <w:top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rPr>
              <w:t>57,894,990</w:t>
            </w:r>
          </w:p>
        </w:tc>
        <w:tc>
          <w:tcPr>
            <w:tcW w:w="1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rPr>
              <w:t>0</w:t>
            </w:r>
          </w:p>
        </w:tc>
        <w:tc>
          <w:tcPr>
            <w:tcW w:w="1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r>
    </w:tbl>
    <w:p>
      <w:pPr>
        <w:spacing w:after="0" w:line="202" w:lineRule="exact"/>
        <w:rPr>
          <w:sz w:val="20"/>
          <w:szCs w:val="20"/>
          <w:color w:val="auto"/>
        </w:rPr>
      </w:pPr>
    </w:p>
    <w:p>
      <w:pPr>
        <w:ind w:left="640" w:hanging="464"/>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shares of IAC common stock and IAC Class B common stock</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9"/>
              </w:rPr>
              <w:t>BROKER NON-</w:t>
            </w:r>
          </w:p>
        </w:tc>
      </w:tr>
      <w:tr>
        <w:trPr>
          <w:trHeight w:val="234"/>
        </w:trPr>
        <w:tc>
          <w:tcPr>
            <w:tcW w:w="3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FOR</w:t>
            </w:r>
          </w:p>
        </w:tc>
        <w:tc>
          <w:tcPr>
            <w:tcW w:w="2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AGAINST</w:t>
            </w: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ABSTAIN</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8"/>
              </w:rPr>
              <w:t>VOTES</w:t>
            </w:r>
          </w:p>
        </w:tc>
      </w:tr>
      <w:tr>
        <w:trPr>
          <w:trHeight w:val="210"/>
        </w:trPr>
        <w:tc>
          <w:tcPr>
            <w:tcW w:w="3380" w:type="dxa"/>
            <w:vAlign w:val="bottom"/>
            <w:tcBorders>
              <w:top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rPr>
              <w:t>114,655,548</w:t>
            </w:r>
          </w:p>
        </w:tc>
        <w:tc>
          <w:tcPr>
            <w:tcW w:w="1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21,829</w:t>
            </w:r>
          </w:p>
        </w:tc>
        <w:tc>
          <w:tcPr>
            <w:tcW w:w="1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11,746</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4,780,577</w:t>
            </w:r>
          </w:p>
        </w:tc>
      </w:tr>
    </w:tbl>
    <w:p>
      <w:pPr>
        <w:spacing w:after="0" w:line="202" w:lineRule="exact"/>
        <w:rPr>
          <w:sz w:val="20"/>
          <w:szCs w:val="20"/>
          <w:color w:val="auto"/>
        </w:rPr>
      </w:pPr>
    </w:p>
    <w:p>
      <w:pPr>
        <w:ind w:left="340" w:right="100" w:hanging="332"/>
        <w:spacing w:after="0" w:line="270" w:lineRule="auto"/>
        <w:tabs>
          <w:tab w:leader="none" w:pos="421" w:val="left"/>
        </w:tabs>
        <w:numPr>
          <w:ilvl w:val="0"/>
          <w:numId w:val="6"/>
        </w:numPr>
        <w:rPr>
          <w:rFonts w:ascii="Arial" w:cs="Arial" w:eastAsia="Arial" w:hAnsi="Arial"/>
          <w:sz w:val="17"/>
          <w:szCs w:val="17"/>
          <w:color w:val="auto"/>
        </w:rPr>
      </w:pPr>
      <w:r>
        <w:rPr>
          <w:rFonts w:ascii="Arial" w:cs="Arial" w:eastAsia="Arial" w:hAnsi="Arial"/>
          <w:sz w:val="17"/>
          <w:szCs w:val="17"/>
          <w:color w:val="auto"/>
        </w:rPr>
        <w:t>A proposal to approve amendments to the IAC certificate of incorporation to provide, following the Separation, for (i) the classification of the board of directors of New Match, with directors serving staggered three-year terms of office, (ii) the removal of members of the board of directors of New Match from office by stockholders being permitted only for cause and with the affirmative vote of not less than a majority of the total voting power of shares of New Match capital stock outstanding and entitled to vote, subject to any rights of holders of preferred stock, (iii) the exclusive right of the board of directors of New Match to fill director vacancies, subject to any rights of holders of preferred stock, (iv) no officer or director of New Match who is also an officer or director of New IAC having liability to New Match or its stockholders for breach of any fiduciary duty by reason of the fact that any such individual directs a corporate opportunity to New IAC instead of New Match, or does not communicate information regarding a corporate opportunity to New Match that the officer or director has directed to New IAC and (v) certain ministerial amendments to the IAC certificate of incorporation. The proposal was approved on the basis of the following voting results: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9"/>
              </w:rPr>
              <w:t>BROKER NON-</w:t>
            </w:r>
          </w:p>
        </w:tc>
      </w:tr>
      <w:tr>
        <w:trPr>
          <w:trHeight w:val="234"/>
        </w:trPr>
        <w:tc>
          <w:tcPr>
            <w:tcW w:w="3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FOR</w:t>
            </w:r>
          </w:p>
        </w:tc>
        <w:tc>
          <w:tcPr>
            <w:tcW w:w="2700" w:type="dxa"/>
            <w:vAlign w:val="bottom"/>
            <w:gridSpan w:val="2"/>
          </w:tcPr>
          <w:p>
            <w:pPr>
              <w:ind w:left="880"/>
              <w:spacing w:after="0"/>
              <w:rPr>
                <w:sz w:val="20"/>
                <w:szCs w:val="20"/>
                <w:color w:val="auto"/>
              </w:rPr>
            </w:pPr>
            <w:r>
              <w:rPr>
                <w:rFonts w:ascii="Arial" w:cs="Arial" w:eastAsia="Arial" w:hAnsi="Arial"/>
                <w:sz w:val="18"/>
                <w:szCs w:val="18"/>
                <w:b w:val="1"/>
                <w:bCs w:val="1"/>
                <w:color w:val="auto"/>
              </w:rPr>
              <w:t>AGAINST</w:t>
            </w: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ABSTAIN</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8"/>
              </w:rPr>
              <w:t>VOTES</w:t>
            </w:r>
          </w:p>
        </w:tc>
      </w:tr>
      <w:tr>
        <w:trPr>
          <w:trHeight w:val="210"/>
        </w:trPr>
        <w:tc>
          <w:tcPr>
            <w:tcW w:w="3380" w:type="dxa"/>
            <w:vAlign w:val="bottom"/>
            <w:tcBorders>
              <w:top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rPr>
              <w:t>84,476,760</w:t>
            </w:r>
          </w:p>
        </w:tc>
        <w:tc>
          <w:tcPr>
            <w:tcW w:w="1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30,199,293</w:t>
            </w:r>
          </w:p>
        </w:tc>
        <w:tc>
          <w:tcPr>
            <w:tcW w:w="1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13,070</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4,780,577</w:t>
            </w:r>
          </w:p>
        </w:tc>
      </w:tr>
      <w:tr>
        <w:trPr>
          <w:trHeight w:val="1107"/>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ind w:left="340" w:right="320" w:hanging="332"/>
        <w:spacing w:after="0" w:line="263" w:lineRule="auto"/>
        <w:tabs>
          <w:tab w:leader="none" w:pos="376"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approve amendments to the IAC certificate of incorporation that will prohibit, following the Separation, action by written consent of stockholders of New Match in lieu of a stockholder meeting, subject to any rights of holders of preferred stock. The proposal was approved on the basis of the following voting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9"/>
              </w:rPr>
              <w:t>BROKER NON-</w:t>
            </w:r>
          </w:p>
        </w:tc>
      </w:tr>
      <w:tr>
        <w:trPr>
          <w:trHeight w:val="234"/>
        </w:trPr>
        <w:tc>
          <w:tcPr>
            <w:tcW w:w="3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FOR</w:t>
            </w:r>
          </w:p>
        </w:tc>
        <w:tc>
          <w:tcPr>
            <w:tcW w:w="2700" w:type="dxa"/>
            <w:vAlign w:val="bottom"/>
            <w:gridSpan w:val="2"/>
          </w:tcPr>
          <w:p>
            <w:pPr>
              <w:ind w:left="880"/>
              <w:spacing w:after="0"/>
              <w:rPr>
                <w:sz w:val="20"/>
                <w:szCs w:val="20"/>
                <w:color w:val="auto"/>
              </w:rPr>
            </w:pPr>
            <w:r>
              <w:rPr>
                <w:rFonts w:ascii="Arial" w:cs="Arial" w:eastAsia="Arial" w:hAnsi="Arial"/>
                <w:sz w:val="18"/>
                <w:szCs w:val="18"/>
                <w:b w:val="1"/>
                <w:bCs w:val="1"/>
                <w:color w:val="auto"/>
              </w:rPr>
              <w:t>AGAINST</w:t>
            </w: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ABSTAIN</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8"/>
              </w:rPr>
              <w:t>VOTES</w:t>
            </w:r>
          </w:p>
        </w:tc>
      </w:tr>
      <w:tr>
        <w:trPr>
          <w:trHeight w:val="209"/>
        </w:trPr>
        <w:tc>
          <w:tcPr>
            <w:tcW w:w="3380" w:type="dxa"/>
            <w:vAlign w:val="bottom"/>
            <w:tcBorders>
              <w:top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rPr>
              <w:t>83,593,266</w:t>
            </w:r>
          </w:p>
        </w:tc>
        <w:tc>
          <w:tcPr>
            <w:tcW w:w="1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31,082,222</w:t>
            </w:r>
          </w:p>
        </w:tc>
        <w:tc>
          <w:tcPr>
            <w:tcW w:w="1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13,635</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4,780,577</w:t>
            </w:r>
          </w:p>
        </w:tc>
      </w:tr>
    </w:tbl>
    <w:p>
      <w:pPr>
        <w:spacing w:after="0" w:line="202" w:lineRule="exact"/>
        <w:rPr>
          <w:sz w:val="20"/>
          <w:szCs w:val="20"/>
          <w:color w:val="auto"/>
        </w:rPr>
      </w:pPr>
    </w:p>
    <w:p>
      <w:pPr>
        <w:ind w:left="340" w:right="100" w:hanging="332"/>
        <w:spacing w:after="0" w:line="257" w:lineRule="auto"/>
        <w:tabs>
          <w:tab w:leader="none" w:pos="376"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proposal to approve certain other amendments to the IAC certificate of incorporation as further described in the joint proxy statement/prospectus, including amendments to provide, following the Separation, for the renaming of New Match as “Match Group, Inc.” and the elimination of all classes and series of authorized capital stock of New Match as of immediately prior to the completion of the Separation other than New Match common stock (at which time the IAC Class M common stock would be renamed New Match common stock) and New Match preferred stock. The proposal was approved on the basis of the following voting results: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9"/>
              </w:rPr>
              <w:t>BROKER NON-</w:t>
            </w:r>
          </w:p>
        </w:tc>
      </w:tr>
      <w:tr>
        <w:trPr>
          <w:trHeight w:val="234"/>
        </w:trPr>
        <w:tc>
          <w:tcPr>
            <w:tcW w:w="3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FOR</w:t>
            </w:r>
          </w:p>
        </w:tc>
        <w:tc>
          <w:tcPr>
            <w:tcW w:w="2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AGAINST</w:t>
            </w: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ABSTAIN</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8"/>
              </w:rPr>
              <w:t>VOTES</w:t>
            </w:r>
          </w:p>
        </w:tc>
      </w:tr>
      <w:tr>
        <w:trPr>
          <w:trHeight w:val="209"/>
        </w:trPr>
        <w:tc>
          <w:tcPr>
            <w:tcW w:w="3380" w:type="dxa"/>
            <w:vAlign w:val="bottom"/>
            <w:tcBorders>
              <w:top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rPr>
              <w:t>114,648,520</w:t>
            </w:r>
          </w:p>
        </w:tc>
        <w:tc>
          <w:tcPr>
            <w:tcW w:w="1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26,086</w:t>
            </w:r>
          </w:p>
        </w:tc>
        <w:tc>
          <w:tcPr>
            <w:tcW w:w="1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14,517</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4,780,577</w:t>
            </w:r>
          </w:p>
        </w:tc>
      </w:tr>
    </w:tbl>
    <w:p>
      <w:pPr>
        <w:spacing w:after="0" w:line="202" w:lineRule="exact"/>
        <w:rPr>
          <w:sz w:val="20"/>
          <w:szCs w:val="20"/>
          <w:color w:val="auto"/>
        </w:rPr>
      </w:pPr>
    </w:p>
    <w:p>
      <w:pPr>
        <w:ind w:left="340" w:right="20" w:hanging="332"/>
        <w:spacing w:after="0" w:line="263" w:lineRule="auto"/>
        <w:tabs>
          <w:tab w:leader="none" w:pos="376"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proposal to approve the issuance of shares of IAC Class M common stock in connection with the transactions contemplated by the Transaction Agreement, dated as of December 19, 2019 and amended as of April 28, 2020 and June 22, 2020, by and among IAC, New IAC, Valentine Merger Sub LLC and Match. The proposal was approved on the basis of the following voting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9"/>
              </w:rPr>
              <w:t>BROKER NON-</w:t>
            </w:r>
          </w:p>
        </w:tc>
      </w:tr>
      <w:tr>
        <w:trPr>
          <w:trHeight w:val="234"/>
        </w:trPr>
        <w:tc>
          <w:tcPr>
            <w:tcW w:w="3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FOR</w:t>
            </w:r>
          </w:p>
        </w:tc>
        <w:tc>
          <w:tcPr>
            <w:tcW w:w="2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AGAINST</w:t>
            </w: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ABSTAIN</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8"/>
              </w:rPr>
              <w:t>VOTES</w:t>
            </w:r>
          </w:p>
        </w:tc>
      </w:tr>
      <w:tr>
        <w:trPr>
          <w:trHeight w:val="209"/>
        </w:trPr>
        <w:tc>
          <w:tcPr>
            <w:tcW w:w="3380" w:type="dxa"/>
            <w:vAlign w:val="bottom"/>
            <w:tcBorders>
              <w:top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rPr>
              <w:t>114,595,226</w:t>
            </w:r>
          </w:p>
        </w:tc>
        <w:tc>
          <w:tcPr>
            <w:tcW w:w="1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77,235</w:t>
            </w:r>
          </w:p>
        </w:tc>
        <w:tc>
          <w:tcPr>
            <w:tcW w:w="1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16,662</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4,780,577</w:t>
            </w:r>
          </w:p>
        </w:tc>
      </w:tr>
    </w:tbl>
    <w:p>
      <w:pPr>
        <w:spacing w:after="0" w:line="202" w:lineRule="exact"/>
        <w:rPr>
          <w:sz w:val="20"/>
          <w:szCs w:val="20"/>
          <w:color w:val="auto"/>
        </w:rPr>
      </w:pPr>
    </w:p>
    <w:p>
      <w:pPr>
        <w:ind w:left="340" w:right="500" w:hanging="332"/>
        <w:spacing w:after="0" w:line="308" w:lineRule="auto"/>
        <w:tabs>
          <w:tab w:leader="none" w:pos="376"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proposal to approve the IAC/InterActiveCorp 2020 Stock and Annual Incentive Plan (which will remain with New Match and be renamed the Match Group, Inc. 2020 Stock and Annual Incentive Plan). The proposal was approved on the basis of the following voting results: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9"/>
              </w:rPr>
              <w:t>BROKER NON-</w:t>
            </w:r>
          </w:p>
        </w:tc>
      </w:tr>
      <w:tr>
        <w:trPr>
          <w:trHeight w:val="234"/>
        </w:trPr>
        <w:tc>
          <w:tcPr>
            <w:tcW w:w="3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FOR</w:t>
            </w:r>
          </w:p>
        </w:tc>
        <w:tc>
          <w:tcPr>
            <w:tcW w:w="2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AGAINST</w:t>
            </w: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ABSTAIN</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8"/>
              </w:rPr>
              <w:t>VOTES</w:t>
            </w:r>
          </w:p>
        </w:tc>
      </w:tr>
      <w:tr>
        <w:trPr>
          <w:trHeight w:val="210"/>
        </w:trPr>
        <w:tc>
          <w:tcPr>
            <w:tcW w:w="3380" w:type="dxa"/>
            <w:vAlign w:val="bottom"/>
            <w:tcBorders>
              <w:top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rPr>
              <w:t>112,751,884</w:t>
            </w:r>
          </w:p>
        </w:tc>
        <w:tc>
          <w:tcPr>
            <w:tcW w:w="1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1,906,392</w:t>
            </w:r>
          </w:p>
        </w:tc>
        <w:tc>
          <w:tcPr>
            <w:tcW w:w="1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30,847</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4,780,577</w:t>
            </w:r>
          </w:p>
        </w:tc>
      </w:tr>
    </w:tbl>
    <w:p>
      <w:pPr>
        <w:spacing w:after="0" w:line="202" w:lineRule="exact"/>
        <w:rPr>
          <w:sz w:val="20"/>
          <w:szCs w:val="20"/>
          <w:color w:val="auto"/>
        </w:rPr>
      </w:pPr>
    </w:p>
    <w:p>
      <w:pPr>
        <w:ind w:left="340" w:right="60" w:hanging="332"/>
        <w:spacing w:after="0" w:line="277" w:lineRule="auto"/>
        <w:tabs>
          <w:tab w:leader="none" w:pos="376"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proposal to approve the adjournment of the Annual Meeting, if necessary or appropriate, to solicit additional proxies if there are not sufficient votes to approve the foregoing proposals. The proposal was approved on the basis of the following voting results: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9"/>
              </w:rPr>
              <w:t>BROKER NON-</w:t>
            </w:r>
          </w:p>
        </w:tc>
      </w:tr>
      <w:tr>
        <w:trPr>
          <w:trHeight w:val="234"/>
        </w:trPr>
        <w:tc>
          <w:tcPr>
            <w:tcW w:w="3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FOR</w:t>
            </w:r>
          </w:p>
        </w:tc>
        <w:tc>
          <w:tcPr>
            <w:tcW w:w="2700" w:type="dxa"/>
            <w:vAlign w:val="bottom"/>
            <w:gridSpan w:val="2"/>
          </w:tcPr>
          <w:p>
            <w:pPr>
              <w:ind w:left="880"/>
              <w:spacing w:after="0"/>
              <w:rPr>
                <w:sz w:val="20"/>
                <w:szCs w:val="20"/>
                <w:color w:val="auto"/>
              </w:rPr>
            </w:pPr>
            <w:r>
              <w:rPr>
                <w:rFonts w:ascii="Arial" w:cs="Arial" w:eastAsia="Arial" w:hAnsi="Arial"/>
                <w:sz w:val="18"/>
                <w:szCs w:val="18"/>
                <w:b w:val="1"/>
                <w:bCs w:val="1"/>
                <w:color w:val="auto"/>
              </w:rPr>
              <w:t>AGAINST</w:t>
            </w:r>
          </w:p>
        </w:tc>
        <w:tc>
          <w:tcPr>
            <w:tcW w:w="2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ABSTAIN</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8"/>
              </w:rPr>
              <w:t>VOTES</w:t>
            </w:r>
          </w:p>
        </w:tc>
      </w:tr>
      <w:tr>
        <w:trPr>
          <w:trHeight w:val="210"/>
        </w:trPr>
        <w:tc>
          <w:tcPr>
            <w:tcW w:w="3380" w:type="dxa"/>
            <w:vAlign w:val="bottom"/>
            <w:tcBorders>
              <w:top w:val="single" w:sz="8" w:color="auto"/>
            </w:tcBorders>
            <w:shd w:val="clear" w:color="auto" w:fill="CCEEFF"/>
          </w:tcPr>
          <w:p>
            <w:pPr>
              <w:jc w:val="right"/>
              <w:ind w:right="1190"/>
              <w:spacing w:after="0"/>
              <w:rPr>
                <w:sz w:val="20"/>
                <w:szCs w:val="20"/>
                <w:color w:val="auto"/>
              </w:rPr>
            </w:pPr>
            <w:r>
              <w:rPr>
                <w:rFonts w:ascii="Arial" w:cs="Arial" w:eastAsia="Arial" w:hAnsi="Arial"/>
                <w:sz w:val="18"/>
                <w:szCs w:val="18"/>
                <w:color w:val="auto"/>
              </w:rPr>
              <w:t>99,644,956</w:t>
            </w:r>
          </w:p>
        </w:tc>
        <w:tc>
          <w:tcPr>
            <w:tcW w:w="1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19,788,828</w:t>
            </w:r>
          </w:p>
        </w:tc>
        <w:tc>
          <w:tcPr>
            <w:tcW w:w="1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35,916</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r>
      <w:tr>
        <w:trPr>
          <w:trHeight w:val="945"/>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ind w:left="340" w:right="100" w:hanging="332"/>
        <w:spacing w:after="0" w:line="259" w:lineRule="auto"/>
        <w:tabs>
          <w:tab w:leader="none" w:pos="37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proposal to elect 11 members to the IAC board of directors, each to hold office until the next succeeding annual meeting of stockholders or until such director's successor shall have been duly elected and qualified (or, if earlier, such director's removal or resignation from the IAC board of directors, including in connection with the completion of the Separation). The stockholders elected each of the nominees to the IAC board of directors on the basis of the following voting results.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ind w:left="340"/>
              <w:spacing w:after="0"/>
              <w:rPr>
                <w:sz w:val="20"/>
                <w:szCs w:val="20"/>
                <w:color w:val="auto"/>
              </w:rPr>
            </w:pPr>
            <w:r>
              <w:rPr>
                <w:rFonts w:ascii="Arial" w:cs="Arial" w:eastAsia="Arial" w:hAnsi="Arial"/>
                <w:sz w:val="18"/>
                <w:szCs w:val="18"/>
                <w:color w:val="auto"/>
              </w:rPr>
              <w:t>Elected by holders of IAC common stock voting as a separate class:</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14"/>
        </w:trPr>
        <w:tc>
          <w:tcPr>
            <w:tcW w:w="69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rPr>
              <w:t>BROKER NON-</w:t>
            </w:r>
          </w:p>
        </w:tc>
      </w:tr>
      <w:tr>
        <w:trPr>
          <w:trHeight w:val="234"/>
        </w:trPr>
        <w:tc>
          <w:tcPr>
            <w:tcW w:w="6980" w:type="dxa"/>
            <w:vAlign w:val="bottom"/>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FOR</w:t>
            </w: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WITHHELD</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rPr>
              <w:t>VOTES</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Bryan Lourd</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55,156,428</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1,637,705</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4,780,577</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Alan G. Spoon</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46,672,879</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10,121,254</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4,780,577</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Richard F. Zannino</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55,862,034</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932,099</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4,780,577</w:t>
            </w: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Elected by holders of IAC common stock and IAC Class B common stock, voting together as a single class: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rPr>
              <w:t>BROKER NON-</w:t>
            </w:r>
          </w:p>
        </w:tc>
      </w:tr>
      <w:tr>
        <w:trPr>
          <w:trHeight w:val="234"/>
        </w:trPr>
        <w:tc>
          <w:tcPr>
            <w:tcW w:w="6980" w:type="dxa"/>
            <w:vAlign w:val="bottom"/>
          </w:tcPr>
          <w:p>
            <w:pPr>
              <w:spacing w:after="0"/>
              <w:rPr>
                <w:sz w:val="20"/>
                <w:szCs w:val="20"/>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FOR</w:t>
            </w:r>
          </w:p>
        </w:tc>
        <w:tc>
          <w:tcPr>
            <w:tcW w:w="1440" w:type="dxa"/>
            <w:vAlign w:val="bottom"/>
            <w:gridSpan w:val="2"/>
          </w:tcPr>
          <w:p>
            <w:pPr>
              <w:ind w:left="160"/>
              <w:spacing w:after="0"/>
              <w:rPr>
                <w:sz w:val="20"/>
                <w:szCs w:val="20"/>
                <w:color w:val="auto"/>
              </w:rPr>
            </w:pPr>
            <w:r>
              <w:rPr>
                <w:rFonts w:ascii="Arial" w:cs="Arial" w:eastAsia="Arial" w:hAnsi="Arial"/>
                <w:sz w:val="18"/>
                <w:szCs w:val="18"/>
                <w:b w:val="1"/>
                <w:bCs w:val="1"/>
                <w:color w:val="auto"/>
              </w:rPr>
              <w:t>WITHHELD</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rPr>
              <w:t>VOTES</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Chelsea Clinton</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113,986,129</w:t>
            </w:r>
          </w:p>
        </w:tc>
        <w:tc>
          <w:tcPr>
            <w:tcW w:w="1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702,994</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4,780,577</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Barry Diller</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110,719,242</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3,969,881</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4,780,577</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Michael D. Eisner</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109,090,539</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5,598,584</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4,780,577</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Bonnie S. Hammer</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113,079,702</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1,609,421</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4,780,577</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Victor A. Kaufman</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111,904,554</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2,784,569</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4,780,577</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Joseph Levin</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113,040,862</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1,648,261</w:t>
            </w: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4,780,577</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David Rosenblatt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113,624,042</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1,065,081</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4,780,577</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Alexander von Furstenberg</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110,490,897</w:t>
            </w:r>
          </w:p>
        </w:tc>
        <w:tc>
          <w:tcPr>
            <w:tcW w:w="12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4,198,226</w:t>
            </w:r>
          </w:p>
        </w:tc>
        <w:tc>
          <w:tcPr>
            <w:tcW w:w="10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4,780,577</w:t>
            </w:r>
          </w:p>
        </w:tc>
      </w:tr>
    </w:tbl>
    <w:p>
      <w:pPr>
        <w:spacing w:after="0" w:line="187" w:lineRule="exact"/>
        <w:rPr>
          <w:sz w:val="20"/>
          <w:szCs w:val="20"/>
          <w:color w:val="auto"/>
        </w:rPr>
      </w:pPr>
    </w:p>
    <w:p>
      <w:pPr>
        <w:ind w:left="340" w:right="500" w:hanging="332"/>
        <w:spacing w:after="0" w:line="277" w:lineRule="auto"/>
        <w:tabs>
          <w:tab w:leader="none" w:pos="331"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proposal to ratify the appointment of Ernst &amp; Young LLP as IAC’s independent registered public accounting firm for the 2020 fiscal year. The proposal was approved on the basis of the following voting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FOR</w:t>
            </w:r>
          </w:p>
        </w:tc>
        <w:tc>
          <w:tcPr>
            <w:tcW w:w="3800" w:type="dxa"/>
            <w:vAlign w:val="bottom"/>
            <w:gridSpan w:val="2"/>
          </w:tcPr>
          <w:p>
            <w:pPr>
              <w:ind w:left="1440"/>
              <w:spacing w:after="0"/>
              <w:rPr>
                <w:sz w:val="20"/>
                <w:szCs w:val="20"/>
                <w:color w:val="auto"/>
              </w:rPr>
            </w:pPr>
            <w:r>
              <w:rPr>
                <w:rFonts w:ascii="Arial" w:cs="Arial" w:eastAsia="Arial" w:hAnsi="Arial"/>
                <w:sz w:val="18"/>
                <w:szCs w:val="18"/>
                <w:b w:val="1"/>
                <w:bCs w:val="1"/>
                <w:color w:val="auto"/>
              </w:rPr>
              <w:t>AGAINST</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7"/>
              </w:rPr>
              <w:t>ABSTAIN</w:t>
            </w:r>
          </w:p>
        </w:tc>
      </w:tr>
      <w:tr>
        <w:trPr>
          <w:trHeight w:val="210"/>
        </w:trPr>
        <w:tc>
          <w:tcPr>
            <w:tcW w:w="3720" w:type="dxa"/>
            <w:vAlign w:val="bottom"/>
            <w:tcBorders>
              <w:top w:val="single" w:sz="8" w:color="auto"/>
            </w:tcBorders>
            <w:shd w:val="clear" w:color="auto" w:fill="CCEEFF"/>
          </w:tcPr>
          <w:p>
            <w:pPr>
              <w:jc w:val="right"/>
              <w:ind w:right="1310"/>
              <w:spacing w:after="0"/>
              <w:rPr>
                <w:sz w:val="20"/>
                <w:szCs w:val="20"/>
                <w:color w:val="auto"/>
              </w:rPr>
            </w:pPr>
            <w:r>
              <w:rPr>
                <w:rFonts w:ascii="Arial" w:cs="Arial" w:eastAsia="Arial" w:hAnsi="Arial"/>
                <w:sz w:val="18"/>
                <w:szCs w:val="18"/>
                <w:color w:val="auto"/>
              </w:rPr>
              <w:t>117,816,292</w:t>
            </w:r>
          </w:p>
        </w:tc>
        <w:tc>
          <w:tcPr>
            <w:tcW w:w="12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rPr>
              <w:t>11,626,037</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50"/>
              <w:spacing w:after="0"/>
              <w:rPr>
                <w:sz w:val="20"/>
                <w:szCs w:val="20"/>
                <w:color w:val="auto"/>
              </w:rPr>
            </w:pPr>
            <w:r>
              <w:rPr>
                <w:rFonts w:ascii="Arial" w:cs="Arial" w:eastAsia="Arial" w:hAnsi="Arial"/>
                <w:sz w:val="18"/>
                <w:szCs w:val="18"/>
                <w:color w:val="auto"/>
              </w:rPr>
              <w:t>27,371</w:t>
            </w:r>
          </w:p>
        </w:tc>
      </w:tr>
    </w:tbl>
    <w:p>
      <w:pPr>
        <w:spacing w:after="0" w:line="20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6"/>
          <w:szCs w:val="16"/>
          <w:color w:val="auto"/>
        </w:rPr>
        <w:t>A proposal to hold an advisory vote on IAC’s executive compensation. The proposal was approved on the basis of the following voting results: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08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99"/>
              </w:rPr>
              <w:t>FOR</w:t>
            </w:r>
          </w:p>
        </w:tc>
        <w:tc>
          <w:tcPr>
            <w:tcW w:w="2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AGAINST</w:t>
            </w:r>
          </w:p>
        </w:tc>
        <w:tc>
          <w:tcPr>
            <w:tcW w:w="2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ABSTAIN</w:t>
            </w: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8"/>
              </w:rPr>
              <w:t>BROKER NON-VOTES</w:t>
            </w:r>
          </w:p>
        </w:tc>
      </w:tr>
      <w:tr>
        <w:trPr>
          <w:trHeight w:val="210"/>
        </w:trPr>
        <w:tc>
          <w:tcPr>
            <w:tcW w:w="88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7"/>
              </w:rPr>
              <w:t>106,245,376</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rPr>
              <w:t>8,384,888</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rPr>
              <w:t>58,859</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4,780,577</w:t>
            </w:r>
          </w:p>
        </w:tc>
      </w:tr>
      <w:tr>
        <w:trPr>
          <w:trHeight w:val="432"/>
        </w:trPr>
        <w:tc>
          <w:tcPr>
            <w:tcW w:w="880" w:type="dxa"/>
            <w:vAlign w:val="bottom"/>
          </w:tcPr>
          <w:p>
            <w:pPr>
              <w:spacing w:after="0"/>
              <w:rPr>
                <w:sz w:val="20"/>
                <w:szCs w:val="20"/>
                <w:color w:val="auto"/>
              </w:rPr>
            </w:pPr>
            <w:r>
              <w:rPr>
                <w:rFonts w:ascii="Arial" w:cs="Arial" w:eastAsia="Arial" w:hAnsi="Arial"/>
                <w:sz w:val="18"/>
                <w:szCs w:val="18"/>
                <w:b w:val="1"/>
                <w:bCs w:val="1"/>
                <w:color w:val="auto"/>
              </w:rPr>
              <w:t>Item 8.01.</w:t>
            </w:r>
          </w:p>
        </w:tc>
        <w:tc>
          <w:tcPr>
            <w:tcW w:w="2080" w:type="dxa"/>
            <w:vAlign w:val="bottom"/>
            <w:gridSpan w:val="2"/>
          </w:tcPr>
          <w:p>
            <w:pPr>
              <w:ind w:left="420"/>
              <w:spacing w:after="0"/>
              <w:rPr>
                <w:sz w:val="20"/>
                <w:szCs w:val="20"/>
                <w:color w:val="auto"/>
              </w:rPr>
            </w:pPr>
            <w:r>
              <w:rPr>
                <w:rFonts w:ascii="Arial" w:cs="Arial" w:eastAsia="Arial" w:hAnsi="Arial"/>
                <w:sz w:val="18"/>
                <w:szCs w:val="18"/>
                <w:b w:val="1"/>
                <w:bCs w:val="1"/>
                <w:color w:val="auto"/>
              </w:rPr>
              <w:t>Other Events.</w:t>
            </w: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r>
    </w:tbl>
    <w:p>
      <w:pPr>
        <w:spacing w:after="0" w:line="20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On June 25, 2020, the Company and Match issued a joint press release announcing the results of the Annual Meeting and the Special Meeting of Match stockholders held on June 25, 2020, which is attached hereto as Exhibit 99.1 and incorporated herein by reference. The Company and Match anticipate that the Separation will be completed after the close of business on June 30, 2020, subject to the satisfaction or waiver of all closing conditions.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 </w:t>
      </w:r>
      <w:r>
        <w:rPr>
          <w:rFonts w:ascii="Arial" w:cs="Arial" w:eastAsia="Arial" w:hAnsi="Arial"/>
          <w:sz w:val="18"/>
          <w:szCs w:val="18"/>
          <w:b w:val="1"/>
          <w:bCs w:val="1"/>
          <w:color w:val="212529"/>
        </w:rPr>
        <w:t>Offer or Solicitation / Additional Information and Where to Find It</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212529"/>
        </w:rPr>
        <w:t>This communication is for informational purposes only and does not constitute an offer to sell or the solicitation of an offer to buy any securities, or a solicitation of any vote or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4" w:name="page5"/>
    <w:bookmarkEnd w:id="4"/>
    <w:p>
      <w:pPr>
        <w:spacing w:after="0" w:line="254" w:lineRule="auto"/>
        <w:rPr>
          <w:sz w:val="20"/>
          <w:szCs w:val="20"/>
          <w:color w:val="auto"/>
        </w:rPr>
      </w:pPr>
      <w:r>
        <w:rPr>
          <w:rFonts w:ascii="Arial" w:cs="Arial" w:eastAsia="Arial" w:hAnsi="Arial"/>
          <w:sz w:val="18"/>
          <w:szCs w:val="18"/>
          <w:color w:val="212529"/>
        </w:rPr>
        <w:t>This communication is being made in respect of a proposed transaction involving IAC, New IAC and Match. In connection with the proposed transaction, on April 28, 2020, IAC and New IAC filed with the SEC an amendment to the joint registration statement on Form S-4 filed on February 13, 2020 (the “Form S-4”) that includes a joint proxy statement of IAC and Match. The Form S-4 was declared effective by the SEC on April 30, 2020, and IAC and Match commenced mailing the joint proxy statement/prospectus to stockholders of IAC and stockholders of Match on or about May 4, 2020. Each party will file other documents regarding the proposed transaction with the SEC. IAC, New IAC and Match may file one or more other documents with the SEC. This communication is not a substitute for the joint proxy statement/prospectus or any other document that may be filed with the SEC in connection with the proposed transaction.</w:t>
      </w:r>
    </w:p>
    <w:p>
      <w:pPr>
        <w:spacing w:after="0" w:line="19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212529"/>
        </w:rPr>
        <w:t>INVESTORS AND SECURITY HOLDERS OF IAC ARE URGED TO READ THE DEFINITIVE JOINT PROXY STATEMENT/PROSPECTUS AND OTHER DOCUMENTS FILED WITH THE SEC CAREFULLY AND IN THEIR ENTIRETY WHEN THEY BECOME AVAILABLE BECAUSE THEY WILL CONTAIN IMPORTANT INFORMATION ABOUT THE PROPOSED TRANSACTION.</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212529"/>
        </w:rPr>
        <w:t>Investors and security holders will be able to obtain these materials (when they are available) and other documents filed with the SEC free of charge at the SEC’s website, www.sec.gov. Copies of documents filed with the SEC by IAC (when they become available) may be obtained free of charge on IAC’s website at www.iac.com.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 w:name="page6"/>
    <w:bookmarkEnd w:id="5"/>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220" w:hanging="564"/>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0"/>
                <w:szCs w:val="20"/>
                <w:color w:val="auto"/>
              </w:rPr>
            </w:pPr>
          </w:p>
        </w:tc>
        <w:tc>
          <w:tcPr>
            <w:tcW w:w="10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Description of Exhibit</w:t>
            </w:r>
          </w:p>
        </w:tc>
      </w:tr>
      <w:tr>
        <w:trPr>
          <w:trHeight w:val="195"/>
        </w:trPr>
        <w:tc>
          <w:tcPr>
            <w:tcW w:w="1020" w:type="dxa"/>
            <w:vAlign w:val="bottom"/>
          </w:tcPr>
          <w:p>
            <w:pPr>
              <w:jc w:val="center"/>
              <w:ind w:right="230"/>
              <w:spacing w:after="0" w:line="195" w:lineRule="exact"/>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99.1</w:t>
              </w:r>
            </w:hyperlink>
          </w:p>
        </w:tc>
        <w:tc>
          <w:tcPr>
            <w:tcW w:w="220" w:type="dxa"/>
            <w:vAlign w:val="bottom"/>
          </w:tcPr>
          <w:p>
            <w:pPr>
              <w:spacing w:after="0"/>
              <w:rPr>
                <w:sz w:val="16"/>
                <w:szCs w:val="16"/>
                <w:color w:val="auto"/>
              </w:rPr>
            </w:pPr>
          </w:p>
        </w:tc>
        <w:tc>
          <w:tcPr>
            <w:tcW w:w="10000" w:type="dxa"/>
            <w:vAlign w:val="bottom"/>
          </w:tcPr>
          <w:p>
            <w:pPr>
              <w:ind w:left="20"/>
              <w:spacing w:after="0" w:line="195" w:lineRule="exact"/>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Joint Press Release, dated as of June 25, 2020.</w:t>
              </w:r>
            </w:hyperlink>
          </w:p>
        </w:tc>
      </w:tr>
      <w:tr>
        <w:trPr>
          <w:trHeight w:val="230"/>
        </w:trPr>
        <w:tc>
          <w:tcPr>
            <w:tcW w:w="1020" w:type="dxa"/>
            <w:vAlign w:val="bottom"/>
          </w:tcPr>
          <w:p>
            <w:pPr>
              <w:jc w:val="right"/>
              <w:ind w:right="210"/>
              <w:spacing w:after="0"/>
              <w:rPr>
                <w:sz w:val="20"/>
                <w:szCs w:val="20"/>
                <w:color w:val="auto"/>
              </w:rPr>
            </w:pPr>
            <w:r>
              <w:rPr>
                <w:rFonts w:ascii="Arial" w:cs="Arial" w:eastAsia="Arial" w:hAnsi="Arial"/>
                <w:sz w:val="18"/>
                <w:szCs w:val="18"/>
                <w:color w:val="auto"/>
              </w:rPr>
              <w:t>104.1</w:t>
            </w:r>
          </w:p>
        </w:tc>
        <w:tc>
          <w:tcPr>
            <w:tcW w:w="22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675"/>
        </w:trPr>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IAC/INTERACTIVECORP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Gregg Winiarski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Gregg Winiarski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General Counsel &amp; Secretary</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June 26,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165100</wp:posOffset>
            </wp:positionV>
            <wp:extent cx="4834890" cy="531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3489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IAC and Match Group Stockholders Approve Separation of Match Group from IAC</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NEW YORK and DALLAS, June 25, 2020—</w:t>
      </w:r>
      <w:r>
        <w:rPr>
          <w:rFonts w:ascii="Arial" w:cs="Arial" w:eastAsia="Arial" w:hAnsi="Arial"/>
          <w:sz w:val="16"/>
          <w:szCs w:val="16"/>
          <w:color w:val="auto"/>
        </w:rPr>
        <w:t>IAC (NASDAQ: IAC) (“IAC”) and Match Group, Inc. (NASDAQ: MTCH) (“Match Group”) today</w:t>
      </w:r>
      <w:r>
        <w:rPr>
          <w:rFonts w:ascii="Arial" w:cs="Arial" w:eastAsia="Arial" w:hAnsi="Arial"/>
          <w:sz w:val="16"/>
          <w:szCs w:val="16"/>
          <w:b w:val="1"/>
          <w:bCs w:val="1"/>
          <w:color w:val="auto"/>
        </w:rPr>
        <w:t xml:space="preserve"> </w:t>
      </w:r>
      <w:r>
        <w:rPr>
          <w:rFonts w:ascii="Arial" w:cs="Arial" w:eastAsia="Arial" w:hAnsi="Arial"/>
          <w:sz w:val="16"/>
          <w:szCs w:val="16"/>
          <w:color w:val="auto"/>
        </w:rPr>
        <w:t>announced that at their respective stockholder meetings held today, IAC and Match Group stockholders voted to approve all proposals required to complete the separation of Match Group from the remaining businesses of IAC pursuant to the previously announced Transaction Agreement, dated as of December 19, 2019 and amended on April 28, 2020 and June 22, 2020 (the “Transaction Agreement”), by and among IAC, Match Group, IAC Holdings, Inc. (“New IAC”), and Valentine Merger Sub LLC, including a vote of a majority of the shares held by the disinterested stockholders of Match Group.</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IAC and Match Group anticipate that the separation will be completed after the close of business on June 30, 2020, subject to the satisfaction or waiver of all closing conditions.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final vote results on the proposals voted on at the IAC annual meeting and the Match Group special meeting will be set forth in separate Form 8-Ks filed by each of IAC and Match Group upon final certification by each company’s inspector of elections.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IAC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IAC (NASDAQ: IAC) builds companies. We are guided by curiosity, a questioning of the status quo, and a desire to invent or acquire new products and brands. From the single seed that started as IAC over two decades ago have emerged 10 public companies and generations of exceptional leaders. We will always evolve, but our basic principles of financially-disciplined opportunism will never change. IAC today operates Vimeo, Dotdash and Care.com, among many others, and also has majority ownership of both Match Group, which includes Tinder, Match, PlentyOfFish, OkCupid and Hinge, and ANGI Homeservices, which includes HomeAdvisor, Angie's List and Handy. The Company is headquartered in New York City and has business operations and satellite offices worldwide.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Match Group</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Match Group (NASDAQ: MTCH), through its portfolio companies, is a leading provider of dating products available globally. Our portfolio of brands includes Tinder®, Match®, Meetic®, OkCupid®, Hinge®, Pairs™, PlentyOfFish®, and OurTime®, as well as a number of other brands, each designed to increase our users’ likelihood of finding a meaningful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Through our portfolio companies and their trusted brands, we provide tailored products to meet the varying preferences of our users. Our products are available in over 40 languages to users all over the world.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 </w:t>
      </w:r>
      <w:r>
        <w:rPr>
          <w:rFonts w:ascii="Arial" w:cs="Arial" w:eastAsia="Arial" w:hAnsi="Arial"/>
          <w:sz w:val="18"/>
          <w:szCs w:val="18"/>
          <w:b w:val="1"/>
          <w:bCs w:val="1"/>
          <w:color w:val="212529"/>
        </w:rPr>
        <w:t>Offer or Solicitation / Additional Information and Where to Find It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12529"/>
        </w:rPr>
        <w:t>This communication is for informational purposes only and does not constitute an offer to sell or the solicitation of an offer to buy any securities, or a solicitation of any vote or approval, nor shall there be any sale, issuance or transfer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12529"/>
        </w:rPr>
        <w:t>This communication is being made in respect of a proposed transaction involving IAC, New IAC and Match Group. In connection with the proposed transaction, on April 28, 2020, IAC and New IAC filed with the Securities and Exchange Commission (the “SEC”) an amendment to the joint registration statement on Form S-4 filed on February 13, 2020 (the “Form S-4”) that includes a joint proxy statement of IAC and Match Group. The Form S-4 was declared effective by the SEC on April 30, 2020, and IAC and Match Group commenced mailing the joint proxy statement/prospectus to stockholders of IAC and stockholders of Match Group on or about May 4, 2020. Each party will file other documents regarding the proposed transaction with the SEC. IAC, New IAC and Match Group may file one or more other documents with the SEC. This communication is not a substitute for the joint proxy statement/prospectus or any other document that may be filed with the SEC in connection with the proposed transaction.</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212529"/>
        </w:rPr>
        <w:t>INVESTORS AND SECURITY HOLDERS OF IAC AND MATCH GROUP ARE URGED TO READ THE DEFINITIVE JOINT PROXY STATEMENT/PROSPECTUS AND OTHER DOCUMENTS FILED WITH THE SEC CAREFULLY AND IN THEIR ENTIRETY WHEN THEY BECOME AVAILABLE BECAUSE THEY WILL CONTAIN IMPORTANT INFORMATION ABOUT THE PROPOSED TRANSACTION.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Investors and security holders will be able to obtain these materials (when they are available) and other documents filed with the SEC free of charge at the SEC’s website, www.sec.gov. Copies of documents filed with the SEC by IAC (when they become available) may be obtained free of charge on IAC’s website at www.iac.com. Copies of documents filed with the SEC by Match Group (when they become available) may be obtained free of charge on Match Group’s website at www.mtch.com.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212529"/>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212529"/>
        </w:rPr>
        <w:t>Certain statements and information in this communication may be deemed to be “forward-looking statements” within the meaning of the Federal Private Securities Litigation Reform Act of 1995. Forward-looking statements may include, but are not limited to, statements relating to IAC’s and Match Group’s anticipated financial performance, objectives, plans and strategies, and all statements (other than statements of historical facts) that address activities, events or developments that IAC and Match Group intend, expect, project, believe or anticipate will or may occur in the future. These statements are often characterized by terminology such as “believe,” “hope,” “may,” “anticipate,” “should,” “intend,” “plan,” “will,” “expect,” “estimate,” “project,” “positioned,” “strategy” and similar expressions, and are based on assumptions and assessments made by IAC’s and Match Group’s management in light of their experience and their perception of historical trends, current conditions, expected future developments, and other factors they believe to be appropriate. IAC and Match Group undertake no duty to update or revise any such statements, whether as a result of new information, future events or otherwise. Forward-looking statements are not guarantees of future performance. Whether actual results will conform to expectations and predictions is subject to known and unknown risks and uncertainties, including: risks and uncertainties discussed in the joint proxy statement/prospectus and other reports that IAC and Match Group have filed with the SEC, competition, Match Group’s ability to maintain user rates on its higher-monetizing dating products, the companies’ ability to attract users to their products and services through cost-effective marketing and related efforts, changes in the companies’ relationship with (or policies implemented by) Google, foreign currency exchange rate fluctuations, Match Group’s ability to distribute their products through third parties and offset related fees, the integrity and scalability of the companies’ systems and infrastructure (and those of third parties) and the companies’ ability to adapt their systems and infrastructure to changes in a timely and cost-effective manner, the companies’ ability to protect their systems from cyberattacks and to protect personal and confidential user information, risks relating to certain of the companies’ international operations and acquisitions, the impact of the outbreak of the COVID-19 coronavirus, or any subsequent or similar epidemic or pandemic, the risks inherent in separating Match Group from IAC, including uncertainties related to, among other things, the costs and expected benefits of the proposed transaction, the calculation of, and factors that may impact the calculation of, the exchange ratio at which shares of IAC capital stock will be converted into the right to receive new shares of the post-separation Match Group in connection with the transaction, the expected timing of the transaction or whether it will be completed, whether the conditions to the transaction can be satisfied or any event, change or other circumstance occurs that could give rise to the termination of the Transaction Agreement (including the failure to receive any required approvals from the stockholders of IAC and Match Group or any required regulatory approvals), any litigation arising out of or relating to the proposed transaction, the expected tax treatment of the transaction, and the impact of the transaction on the businesses of IAC and Match Group, and other circumstances beyond IAC’s and Match Group’s control. You should not place undue reliance on these forward-looking statements. For more details on factors that could affect these expectations, please see IAC’s and Match Group’s filings with the SEC, including the joint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Contact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IAC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Schneider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314-7400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Group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Lance Barton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314-7400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IAC Corporate Communications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Valerie Combs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314-7361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 Group Corporate Communications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Justine Sacco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314-7400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 IAC; Match Group</w:t>
      </w:r>
    </w:p>
    <w:p>
      <w:pPr>
        <w:spacing w:after="0" w:line="200" w:lineRule="exact"/>
        <w:rPr>
          <w:sz w:val="20"/>
          <w:szCs w:val="20"/>
          <w:color w:val="auto"/>
        </w:rPr>
      </w:pPr>
    </w:p>
    <w:p>
      <w:pPr>
        <w:spacing w:after="0" w:line="241"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lvl w:ilvl="1">
      <w:lvlJc w:val="left"/>
      <w:lvlText w:val="·"/>
      <w:numFmt w:val="bullet"/>
      <w:start w:val="1"/>
    </w:lvl>
  </w:abstractNum>
  <w:abstractNum w:abstractNumId="3">
    <w:nsid w:val="5BD062C2"/>
    <w:multiLevelType w:val="hybridMultilevel"/>
    <w:lvl w:ilvl="0">
      <w:lvlJc w:val="left"/>
      <w:lvlText w:val="%1)"/>
      <w:numFmt w:val="lowerLetter"/>
      <w:start w:val="2"/>
    </w:lvl>
  </w:abstractNum>
  <w:abstractNum w:abstractNumId="4">
    <w:nsid w:val="12200854"/>
    <w:multiLevelType w:val="hybridMultilevel"/>
    <w:lvl w:ilvl="0">
      <w:lvlJc w:val="left"/>
      <w:lvlText w:val="%1)"/>
      <w:numFmt w:val="lowerLetter"/>
      <w:start w:val="3"/>
    </w:lvl>
  </w:abstractNum>
  <w:abstractNum w:abstractNumId="5">
    <w:nsid w:val="4DB127F8"/>
    <w:multiLevelType w:val="hybridMultilevel"/>
    <w:lvl w:ilvl="0">
      <w:lvlJc w:val="left"/>
      <w:lvlText w:val="%1."/>
      <w:numFmt w:val="decimal"/>
      <w:start w:val="2"/>
    </w:lvl>
  </w:abstractNum>
  <w:abstractNum w:abstractNumId="6">
    <w:nsid w:val="216231B"/>
    <w:multiLevelType w:val="hybridMultilevel"/>
    <w:lvl w:ilvl="0">
      <w:lvlJc w:val="left"/>
      <w:lvlText w:val="%1."/>
      <w:numFmt w:val="decimal"/>
      <w:start w:val="3"/>
    </w:lvl>
  </w:abstractNum>
  <w:abstractNum w:abstractNumId="7">
    <w:nsid w:val="1F16E9E8"/>
    <w:multiLevelType w:val="hybridMultilevel"/>
    <w:lvl w:ilvl="0">
      <w:lvlJc w:val="left"/>
      <w:lvlText w:val="%1."/>
      <w:numFmt w:val="decimal"/>
      <w:start w:val="4"/>
    </w:lvl>
  </w:abstractNum>
  <w:abstractNum w:abstractNumId="8">
    <w:nsid w:val="1190CDE7"/>
    <w:multiLevelType w:val="hybridMultilevel"/>
    <w:lvl w:ilvl="0">
      <w:lvlJc w:val="left"/>
      <w:lvlText w:val="%1."/>
      <w:numFmt w:val="decimal"/>
      <w:start w:val="5"/>
    </w:lvl>
  </w:abstractNum>
  <w:abstractNum w:abstractNumId="9">
    <w:nsid w:val="66EF438D"/>
    <w:multiLevelType w:val="hybridMultilevel"/>
    <w:lvl w:ilvl="0">
      <w:lvlJc w:val="left"/>
      <w:lvlText w:val="%1."/>
      <w:numFmt w:val="decimal"/>
      <w:start w:val="6"/>
    </w:lvl>
  </w:abstractNum>
  <w:abstractNum w:abstractNumId="10">
    <w:nsid w:val="140E0F76"/>
    <w:multiLevelType w:val="hybridMultilevel"/>
    <w:lvl w:ilvl="0">
      <w:lvlJc w:val="left"/>
      <w:lvlText w:val="%1."/>
      <w:numFmt w:val="decimal"/>
      <w:start w:val="7"/>
    </w:lvl>
  </w:abstractNum>
  <w:abstractNum w:abstractNumId="11">
    <w:nsid w:val="3352255A"/>
    <w:multiLevelType w:val="hybridMultilevel"/>
    <w:lvl w:ilvl="0">
      <w:lvlJc w:val="left"/>
      <w:lvlText w:val="%1."/>
      <w:numFmt w:val="decimal"/>
      <w:start w:val="8"/>
    </w:lvl>
  </w:abstractNum>
  <w:abstractNum w:abstractNumId="12">
    <w:nsid w:val="109CF92E"/>
    <w:multiLevelType w:val="hybridMultilevel"/>
    <w:lvl w:ilvl="0">
      <w:lvlJc w:val="left"/>
      <w:lvlText w:val="%1."/>
      <w:numFmt w:val="decimal"/>
      <w:start w:val="9"/>
    </w:lvl>
  </w:abstractNum>
  <w:abstractNum w:abstractNumId="13">
    <w:nsid w:val="DED7263"/>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2020-06-29T05:10:11Z</dcterms:created>
  <dcterms:modified xsi:type="dcterms:W3CDTF">2020-06-29T05:10:11Z</dcterms:modified>
</cp:coreProperties>
</file>