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180340</wp:posOffset>
            </wp:positionV>
            <wp:extent cx="23742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June 25,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MATCH GROUP,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820" w:type="dxa"/>
        <w:tblCellMar>
          <w:top w:w="0" w:type="dxa"/>
          <w:left w:w="0" w:type="dxa"/>
          <w:bottom w:w="0" w:type="dxa"/>
          <w:right w:w="0" w:type="dxa"/>
        </w:tblCellMar>
      </w:tblPr>
      <w:tr>
        <w:trPr>
          <w:trHeight w:val="256"/>
        </w:trPr>
        <w:tc>
          <w:tcPr>
            <w:tcW w:w="3180" w:type="dxa"/>
            <w:vAlign w:val="bottom"/>
          </w:tcPr>
          <w:p>
            <w:pPr>
              <w:jc w:val="center"/>
              <w:ind w:right="921"/>
              <w:spacing w:after="0"/>
              <w:rPr>
                <w:sz w:val="20"/>
                <w:szCs w:val="20"/>
                <w:color w:val="auto"/>
              </w:rPr>
            </w:pPr>
            <w:r>
              <w:rPr>
                <w:rFonts w:ascii="Arial" w:cs="Arial" w:eastAsia="Arial" w:hAnsi="Arial"/>
                <w:sz w:val="20"/>
                <w:szCs w:val="20"/>
                <w:b w:val="1"/>
                <w:bCs w:val="1"/>
                <w:color w:val="auto"/>
                <w:w w:val="91"/>
              </w:rPr>
              <w:t>Delaware</w:t>
            </w:r>
          </w:p>
        </w:tc>
        <w:tc>
          <w:tcPr>
            <w:tcW w:w="3420" w:type="dxa"/>
            <w:vAlign w:val="bottom"/>
          </w:tcPr>
          <w:p>
            <w:pPr>
              <w:jc w:val="center"/>
              <w:ind w:right="21"/>
              <w:spacing w:after="0"/>
              <w:rPr>
                <w:sz w:val="20"/>
                <w:szCs w:val="20"/>
                <w:color w:val="auto"/>
              </w:rPr>
            </w:pPr>
            <w:r>
              <w:rPr>
                <w:rFonts w:ascii="Arial" w:cs="Arial" w:eastAsia="Arial" w:hAnsi="Arial"/>
                <w:sz w:val="20"/>
                <w:szCs w:val="20"/>
                <w:b w:val="1"/>
                <w:bCs w:val="1"/>
                <w:color w:val="auto"/>
                <w:w w:val="89"/>
              </w:rPr>
              <w:t>001-37636</w:t>
            </w:r>
          </w:p>
        </w:tc>
        <w:tc>
          <w:tcPr>
            <w:tcW w:w="270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26-4278917</w:t>
            </w:r>
          </w:p>
        </w:tc>
      </w:tr>
      <w:tr>
        <w:trPr>
          <w:trHeight w:val="263"/>
        </w:trPr>
        <w:tc>
          <w:tcPr>
            <w:tcW w:w="3180" w:type="dxa"/>
            <w:vAlign w:val="bottom"/>
          </w:tcPr>
          <w:p>
            <w:pPr>
              <w:jc w:val="center"/>
              <w:ind w:right="1001"/>
              <w:spacing w:after="0"/>
              <w:rPr>
                <w:sz w:val="20"/>
                <w:szCs w:val="20"/>
                <w:color w:val="auto"/>
              </w:rPr>
            </w:pPr>
            <w:r>
              <w:rPr>
                <w:rFonts w:ascii="Arial" w:cs="Arial" w:eastAsia="Arial" w:hAnsi="Arial"/>
                <w:sz w:val="20"/>
                <w:szCs w:val="20"/>
                <w:color w:val="auto"/>
                <w:w w:val="91"/>
              </w:rPr>
              <w:t>(State or other jurisdiction</w:t>
            </w:r>
          </w:p>
        </w:tc>
        <w:tc>
          <w:tcPr>
            <w:tcW w:w="3420" w:type="dxa"/>
            <w:vAlign w:val="bottom"/>
          </w:tcPr>
          <w:p>
            <w:pPr>
              <w:jc w:val="center"/>
              <w:ind w:right="81"/>
              <w:spacing w:after="0"/>
              <w:rPr>
                <w:sz w:val="20"/>
                <w:szCs w:val="20"/>
                <w:color w:val="auto"/>
              </w:rPr>
            </w:pPr>
            <w:r>
              <w:rPr>
                <w:rFonts w:ascii="Arial" w:cs="Arial" w:eastAsia="Arial" w:hAnsi="Arial"/>
                <w:sz w:val="20"/>
                <w:szCs w:val="20"/>
                <w:color w:val="auto"/>
                <w:w w:val="92"/>
              </w:rPr>
              <w:t>(Commission</w:t>
            </w:r>
          </w:p>
        </w:tc>
        <w:tc>
          <w:tcPr>
            <w:tcW w:w="2700" w:type="dxa"/>
            <w:vAlign w:val="bottom"/>
          </w:tcPr>
          <w:p>
            <w:pPr>
              <w:jc w:val="center"/>
              <w:ind w:left="1081"/>
              <w:spacing w:after="0"/>
              <w:rPr>
                <w:sz w:val="20"/>
                <w:szCs w:val="20"/>
                <w:color w:val="auto"/>
              </w:rPr>
            </w:pPr>
            <w:r>
              <w:rPr>
                <w:rFonts w:ascii="Arial" w:cs="Arial" w:eastAsia="Arial" w:hAnsi="Arial"/>
                <w:sz w:val="20"/>
                <w:szCs w:val="20"/>
                <w:color w:val="auto"/>
                <w:w w:val="92"/>
              </w:rPr>
              <w:t>(IRS Employer</w:t>
            </w:r>
          </w:p>
        </w:tc>
      </w:tr>
      <w:tr>
        <w:trPr>
          <w:trHeight w:val="250"/>
        </w:trPr>
        <w:tc>
          <w:tcPr>
            <w:tcW w:w="3180" w:type="dxa"/>
            <w:vAlign w:val="bottom"/>
          </w:tcPr>
          <w:p>
            <w:pPr>
              <w:jc w:val="center"/>
              <w:ind w:right="941"/>
              <w:spacing w:after="0"/>
              <w:rPr>
                <w:sz w:val="20"/>
                <w:szCs w:val="20"/>
                <w:color w:val="auto"/>
              </w:rPr>
            </w:pPr>
            <w:r>
              <w:rPr>
                <w:rFonts w:ascii="Arial" w:cs="Arial" w:eastAsia="Arial" w:hAnsi="Arial"/>
                <w:sz w:val="20"/>
                <w:szCs w:val="20"/>
                <w:color w:val="auto"/>
                <w:w w:val="92"/>
              </w:rPr>
              <w:t>of incorporation)</w:t>
            </w:r>
          </w:p>
        </w:tc>
        <w:tc>
          <w:tcPr>
            <w:tcW w:w="3420" w:type="dxa"/>
            <w:vAlign w:val="bottom"/>
          </w:tcPr>
          <w:p>
            <w:pPr>
              <w:jc w:val="center"/>
              <w:ind w:right="41"/>
              <w:spacing w:after="0"/>
              <w:rPr>
                <w:sz w:val="20"/>
                <w:szCs w:val="20"/>
                <w:color w:val="auto"/>
              </w:rPr>
            </w:pPr>
            <w:r>
              <w:rPr>
                <w:rFonts w:ascii="Arial" w:cs="Arial" w:eastAsia="Arial" w:hAnsi="Arial"/>
                <w:sz w:val="20"/>
                <w:szCs w:val="20"/>
                <w:color w:val="auto"/>
                <w:w w:val="93"/>
              </w:rPr>
              <w:t>File Number)</w:t>
            </w:r>
          </w:p>
        </w:tc>
        <w:tc>
          <w:tcPr>
            <w:tcW w:w="2700" w:type="dxa"/>
            <w:vAlign w:val="bottom"/>
          </w:tcPr>
          <w:p>
            <w:pPr>
              <w:jc w:val="center"/>
              <w:ind w:left="1121"/>
              <w:spacing w:after="0"/>
              <w:rPr>
                <w:sz w:val="20"/>
                <w:szCs w:val="20"/>
                <w:color w:val="auto"/>
              </w:rPr>
            </w:pPr>
            <w:r>
              <w:rPr>
                <w:rFonts w:ascii="Arial" w:cs="Arial" w:eastAsia="Arial" w:hAnsi="Arial"/>
                <w:sz w:val="20"/>
                <w:szCs w:val="20"/>
                <w:color w:val="auto"/>
                <w:w w:val="95"/>
              </w:rPr>
              <w:t>Identification No.)</w:t>
            </w:r>
          </w:p>
        </w:tc>
      </w:tr>
    </w:tbl>
    <w:p>
      <w:pPr>
        <w:spacing w:after="0" w:line="3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8750 North Central Expressway, Suite 1400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Dallas, TX 75231</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(214) 576-9352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348615</wp:posOffset>
            </wp:positionV>
            <wp:extent cx="23742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9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54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0"/>
        </w:trPr>
        <w:tc>
          <w:tcPr>
            <w:tcW w:w="448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Common Stock, par value $0.001</w:t>
            </w:r>
          </w:p>
        </w:tc>
        <w:tc>
          <w:tcPr>
            <w:tcW w:w="2680" w:type="dxa"/>
            <w:vAlign w:val="bottom"/>
            <w:gridSpan w:val="2"/>
          </w:tcPr>
          <w:p>
            <w:pPr>
              <w:jc w:val="center"/>
              <w:ind w:right="540"/>
              <w:spacing w:after="0"/>
              <w:rPr>
                <w:sz w:val="20"/>
                <w:szCs w:val="20"/>
                <w:color w:val="auto"/>
              </w:rPr>
            </w:pPr>
            <w:r>
              <w:rPr>
                <w:rFonts w:ascii="Arial" w:cs="Arial" w:eastAsia="Arial" w:hAnsi="Arial"/>
                <w:sz w:val="14"/>
                <w:szCs w:val="14"/>
                <w:color w:val="auto"/>
              </w:rPr>
              <w:t>MTCH</w:t>
            </w:r>
          </w:p>
        </w:tc>
        <w:tc>
          <w:tcPr>
            <w:tcW w:w="40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r>
    </w:tbl>
    <w:p>
      <w:pPr>
        <w:spacing w:after="0" w:line="110"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On June 25, </w:t>
      </w:r>
      <w:r>
        <w:rPr>
          <w:rFonts w:ascii="Arial" w:cs="Arial" w:eastAsia="Arial" w:hAnsi="Arial"/>
          <w:sz w:val="20"/>
          <w:szCs w:val="20"/>
          <w:color w:val="auto"/>
        </w:rPr>
        <w:t>2020</w:t>
      </w:r>
      <w:r>
        <w:rPr>
          <w:rFonts w:ascii="Arial" w:cs="Arial" w:eastAsia="Arial" w:hAnsi="Arial"/>
          <w:sz w:val="19"/>
          <w:szCs w:val="19"/>
          <w:color w:val="auto"/>
        </w:rPr>
        <w:t>, Match Group, Inc. (“Match”) held a special meeting of stockholders (the “Match Special Meeting”) to:</w:t>
      </w:r>
    </w:p>
    <w:p>
      <w:pPr>
        <w:spacing w:after="0" w:line="180" w:lineRule="exact"/>
        <w:rPr>
          <w:sz w:val="20"/>
          <w:szCs w:val="20"/>
          <w:color w:val="auto"/>
        </w:rPr>
      </w:pPr>
    </w:p>
    <w:p>
      <w:pPr>
        <w:ind w:left="98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 proposal to adopt the Transaction Agreement, dated as of December 19, 2019 and amended as of April 28, 2020 and June 22, 2020 (as so amended, the “Transaction Agreement”), by and among IAC/InterActiveCorp (“IAC”), IAC Holdings, Inc., Valentine Merger Sub LLC and Match (the “Transaction Proposal”);</w:t>
      </w:r>
    </w:p>
    <w:p>
      <w:pPr>
        <w:spacing w:after="0" w:line="78" w:lineRule="exact"/>
        <w:rPr>
          <w:rFonts w:ascii="Arial" w:cs="Arial" w:eastAsia="Arial" w:hAnsi="Arial"/>
          <w:sz w:val="20"/>
          <w:szCs w:val="20"/>
          <w:color w:val="auto"/>
        </w:rPr>
      </w:pPr>
    </w:p>
    <w:p>
      <w:pPr>
        <w:ind w:left="980" w:right="120" w:hanging="324"/>
        <w:spacing w:after="0" w:line="30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an advisory (non-binding) proposal to, following the separation of the businesses of Match from the remaining businesses of IAC pursuant to the Transaction Agreement (the “Separation”), classify the board of directors of IAC, which will be renamed “Match Group, Inc.” (“New Match”) and to allow New Match stockholders to vote on the election of the directors on a staggered three-year basis, rather than on an annual basis (the “New Match Board Classification Advisory Vote Proposal”);</w:t>
      </w:r>
    </w:p>
    <w:p>
      <w:pPr>
        <w:spacing w:after="0" w:line="83" w:lineRule="exact"/>
        <w:rPr>
          <w:rFonts w:ascii="Arial" w:cs="Arial" w:eastAsia="Arial" w:hAnsi="Arial"/>
          <w:sz w:val="20"/>
          <w:szCs w:val="20"/>
          <w:color w:val="auto"/>
        </w:rPr>
      </w:pPr>
    </w:p>
    <w:p>
      <w:pPr>
        <w:ind w:left="980" w:right="12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an advisory (non-binding) proposal to, following the Separation, prohibit action by written consent of stockholders of New Match in lieu of a stockholder meeting, subject to any rights of holders of preferred stock (the “Prohibition of Stockholder Written Consent Advisory Vote Proposal”); and</w:t>
      </w:r>
    </w:p>
    <w:p>
      <w:pPr>
        <w:spacing w:after="0" w:line="78" w:lineRule="exact"/>
        <w:rPr>
          <w:rFonts w:ascii="Arial" w:cs="Arial" w:eastAsia="Arial" w:hAnsi="Arial"/>
          <w:sz w:val="20"/>
          <w:szCs w:val="20"/>
          <w:color w:val="auto"/>
        </w:rPr>
      </w:pPr>
    </w:p>
    <w:p>
      <w:pPr>
        <w:ind w:left="980" w:right="44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one or more adjournments or postponements of the Match Special Meeting if necessary or appropriate, including to solicit additional proxies if there are not sufficient votes at the time of the Match Special Meeting to adopt the Transaction Proposal (the “Match Adjournment Proposal”).</w:t>
      </w:r>
    </w:p>
    <w:p>
      <w:pPr>
        <w:spacing w:after="0" w:line="88" w:lineRule="exact"/>
        <w:rPr>
          <w:sz w:val="20"/>
          <w:szCs w:val="20"/>
          <w:color w:val="auto"/>
        </w:rPr>
      </w:pPr>
    </w:p>
    <w:p>
      <w:pPr>
        <w:ind w:right="200" w:firstLine="648"/>
        <w:spacing w:after="0" w:line="324" w:lineRule="auto"/>
        <w:rPr>
          <w:sz w:val="20"/>
          <w:szCs w:val="20"/>
          <w:color w:val="auto"/>
        </w:rPr>
      </w:pPr>
      <w:r>
        <w:rPr>
          <w:rFonts w:ascii="Arial" w:cs="Arial" w:eastAsia="Arial" w:hAnsi="Arial"/>
          <w:sz w:val="20"/>
          <w:szCs w:val="20"/>
          <w:color w:val="auto"/>
        </w:rPr>
        <w:t xml:space="preserve">There were 74,223,779 shares </w:t>
      </w:r>
      <w:r>
        <w:rPr>
          <w:rFonts w:ascii="Arial" w:cs="Arial" w:eastAsia="Arial" w:hAnsi="Arial"/>
          <w:sz w:val="21"/>
          <w:szCs w:val="21"/>
          <w:color w:val="auto"/>
        </w:rPr>
        <w:t>of Match common stock (entitled to one vote per share) and</w:t>
      </w:r>
      <w:r>
        <w:rPr>
          <w:rFonts w:ascii="Arial" w:cs="Arial" w:eastAsia="Arial" w:hAnsi="Arial"/>
          <w:sz w:val="20"/>
          <w:szCs w:val="20"/>
          <w:color w:val="auto"/>
        </w:rPr>
        <w:t xml:space="preserve"> 209,919,402 </w:t>
      </w:r>
      <w:r>
        <w:rPr>
          <w:rFonts w:ascii="Arial" w:cs="Arial" w:eastAsia="Arial" w:hAnsi="Arial"/>
          <w:sz w:val="21"/>
          <w:szCs w:val="21"/>
          <w:color w:val="auto"/>
        </w:rPr>
        <w:t>shares of Match</w:t>
      </w:r>
      <w:r>
        <w:rPr>
          <w:rFonts w:ascii="Arial" w:cs="Arial" w:eastAsia="Arial" w:hAnsi="Arial"/>
          <w:sz w:val="20"/>
          <w:szCs w:val="20"/>
          <w:color w:val="auto"/>
        </w:rPr>
        <w:t xml:space="preserve"> </w:t>
      </w:r>
      <w:r>
        <w:rPr>
          <w:rFonts w:ascii="Arial" w:cs="Arial" w:eastAsia="Arial" w:hAnsi="Arial"/>
          <w:sz w:val="21"/>
          <w:szCs w:val="21"/>
          <w:color w:val="auto"/>
        </w:rPr>
        <w:t>Class B common stock (entitled to ten votes per share) outstanding and entitled to vote on the record date for the Match Special Meeting.</w:t>
      </w:r>
    </w:p>
    <w:p>
      <w:pPr>
        <w:spacing w:after="0" w:line="53" w:lineRule="exact"/>
        <w:rPr>
          <w:sz w:val="20"/>
          <w:szCs w:val="20"/>
          <w:color w:val="auto"/>
        </w:rPr>
      </w:pPr>
    </w:p>
    <w:p>
      <w:pPr>
        <w:ind w:right="80" w:firstLine="648"/>
        <w:spacing w:after="0" w:line="369" w:lineRule="auto"/>
        <w:rPr>
          <w:sz w:val="20"/>
          <w:szCs w:val="20"/>
          <w:color w:val="auto"/>
        </w:rPr>
      </w:pPr>
      <w:r>
        <w:rPr>
          <w:rFonts w:ascii="Arial" w:cs="Arial" w:eastAsia="Arial" w:hAnsi="Arial"/>
          <w:sz w:val="16"/>
          <w:szCs w:val="16"/>
          <w:color w:val="auto"/>
        </w:rPr>
        <w:t>Pursuant to the terms of the Transaction Agreement, adoption of the Transaction Proposal, which was a condition to the completion of the transactions contemplated by the Transaction Agreement, required both (i) the affirmative vote of holders of at least a majority of the aggregate voting power of all outstanding shares of Match capital stock entitled to vote on the proposal, voting together as a single class, and</w:t>
      </w:r>
    </w:p>
    <w:p>
      <w:pPr>
        <w:spacing w:after="0" w:line="2" w:lineRule="exact"/>
        <w:rPr>
          <w:sz w:val="20"/>
          <w:szCs w:val="20"/>
          <w:color w:val="auto"/>
        </w:rPr>
      </w:pPr>
    </w:p>
    <w:p>
      <w:pPr>
        <w:ind w:firstLine="8"/>
        <w:spacing w:after="0" w:line="318" w:lineRule="auto"/>
        <w:tabs>
          <w:tab w:leader="none" w:pos="29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affirmative vote of holders of at least a majority of the aggregate voting power of all outstanding shares of Match capital stock entitled to vote on the proposal (other than any shares of Match capital stock owned, directly or indirectly, by IAC and its subsidiaries, the members of the IAC board of directors, any person that IAC has determined to be an “officer” of IAC within the meaning of Rule 16a-1(f) of the Securities Exchange Act of 1934, as amended (the “Exchange Act”), the members of the Match board of directors, any person that Match has determined to be an “officer” of Match within the meaning of Rule 16a-1(f) of the Exchange Act, and the immediate family members of any of the foregoing), voting together as a single class (the “Disinterested Stockholders”).</w:t>
      </w:r>
    </w:p>
    <w:p>
      <w:pPr>
        <w:sectPr>
          <w:pgSz w:w="11900" w:h="16838" w:orient="portrait"/>
          <w:cols w:equalWidth="0" w:num="1">
            <w:col w:w="11240"/>
          </w:cols>
          <w:pgMar w:left="320" w:top="1413" w:right="339" w:bottom="1440" w:gutter="0" w:footer="0" w:header="0"/>
        </w:sectPr>
      </w:pPr>
    </w:p>
    <w:bookmarkStart w:id="2" w:name="page3"/>
    <w:bookmarkEnd w:id="2"/>
    <w:p>
      <w:pPr>
        <w:spacing w:after="0" w:line="114" w:lineRule="exact"/>
        <w:rPr>
          <w:sz w:val="20"/>
          <w:szCs w:val="20"/>
          <w:color w:val="auto"/>
        </w:rPr>
      </w:pPr>
    </w:p>
    <w:p>
      <w:pPr>
        <w:ind w:right="140" w:firstLine="648"/>
        <w:spacing w:after="0" w:line="346" w:lineRule="auto"/>
        <w:rPr>
          <w:sz w:val="20"/>
          <w:szCs w:val="20"/>
          <w:color w:val="auto"/>
        </w:rPr>
      </w:pPr>
      <w:r>
        <w:rPr>
          <w:rFonts w:ascii="Arial" w:cs="Arial" w:eastAsia="Arial" w:hAnsi="Arial"/>
          <w:sz w:val="19"/>
          <w:szCs w:val="19"/>
          <w:color w:val="auto"/>
        </w:rPr>
        <w:t>At the Match Special Meeting, shares of Match capital stock constituting a quorum to conduct business were present in person or by proxy, and each of the proposals was approved by the requisite voting power of holders of Match capital stock.</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for each matter voted on were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900" w:type="dxa"/>
            <w:vAlign w:val="bottom"/>
          </w:tcPr>
          <w:p>
            <w:pPr>
              <w:ind w:left="80"/>
              <w:spacing w:after="0"/>
              <w:rPr>
                <w:sz w:val="20"/>
                <w:szCs w:val="20"/>
                <w:color w:val="auto"/>
              </w:rPr>
            </w:pPr>
            <w:r>
              <w:rPr>
                <w:rFonts w:ascii="Arial" w:cs="Arial" w:eastAsia="Arial" w:hAnsi="Arial"/>
                <w:sz w:val="20"/>
                <w:szCs w:val="20"/>
                <w:color w:val="auto"/>
              </w:rPr>
              <w:t>The Transaction Proposal:</w:t>
            </w:r>
          </w:p>
        </w:tc>
        <w:tc>
          <w:tcPr>
            <w:tcW w:w="374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2,159,609,575</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32,666</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19,474</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524"/>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6640" w:type="dxa"/>
            <w:vAlign w:val="bottom"/>
            <w:gridSpan w:val="2"/>
          </w:tcPr>
          <w:p>
            <w:pPr>
              <w:ind w:left="80"/>
              <w:spacing w:after="0"/>
              <w:rPr>
                <w:sz w:val="20"/>
                <w:szCs w:val="20"/>
                <w:color w:val="auto"/>
              </w:rPr>
            </w:pPr>
            <w:r>
              <w:rPr>
                <w:rFonts w:ascii="Arial" w:cs="Arial" w:eastAsia="Arial" w:hAnsi="Arial"/>
                <w:sz w:val="20"/>
                <w:szCs w:val="20"/>
                <w:color w:val="auto"/>
              </w:rPr>
              <w:t>The New Match Board Classification Advisory Vote Proposal:</w:t>
            </w:r>
          </w:p>
        </w:tc>
        <w:tc>
          <w:tcPr>
            <w:tcW w:w="3720" w:type="dxa"/>
            <w:vAlign w:val="bottom"/>
          </w:tcPr>
          <w:p>
            <w:pPr>
              <w:spacing w:after="0"/>
              <w:rPr>
                <w:sz w:val="24"/>
                <w:szCs w:val="24"/>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2,131,236,967</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28,379,341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45,407</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524"/>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6640" w:type="dxa"/>
            <w:vAlign w:val="bottom"/>
            <w:gridSpan w:val="2"/>
          </w:tcPr>
          <w:p>
            <w:pPr>
              <w:ind w:left="80"/>
              <w:spacing w:after="0"/>
              <w:rPr>
                <w:sz w:val="20"/>
                <w:szCs w:val="20"/>
                <w:color w:val="auto"/>
              </w:rPr>
            </w:pPr>
            <w:r>
              <w:rPr>
                <w:rFonts w:ascii="Arial" w:cs="Arial" w:eastAsia="Arial" w:hAnsi="Arial"/>
                <w:sz w:val="20"/>
                <w:szCs w:val="20"/>
                <w:color w:val="auto"/>
              </w:rPr>
              <w:t>The Prohibition of Stockholder Written Consent Advisory Vote Proposal:</w:t>
            </w:r>
          </w:p>
        </w:tc>
        <w:tc>
          <w:tcPr>
            <w:tcW w:w="3720" w:type="dxa"/>
            <w:vAlign w:val="bottom"/>
          </w:tcPr>
          <w:p>
            <w:pPr>
              <w:spacing w:after="0"/>
              <w:rPr>
                <w:sz w:val="24"/>
                <w:szCs w:val="24"/>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2,135,713,313</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23,872,569</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75,833</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0"/>
          <w:szCs w:val="20"/>
          <w:color w:val="auto"/>
        </w:rPr>
      </w:pPr>
    </w:p>
    <w:p>
      <w:pPr>
        <w:jc w:val="both"/>
        <w:ind w:right="100" w:firstLine="648"/>
        <w:spacing w:after="0" w:line="353" w:lineRule="auto"/>
        <w:rPr>
          <w:sz w:val="20"/>
          <w:szCs w:val="20"/>
          <w:color w:val="auto"/>
        </w:rPr>
      </w:pPr>
      <w:r>
        <w:rPr>
          <w:rFonts w:ascii="Arial" w:cs="Arial" w:eastAsia="Arial" w:hAnsi="Arial"/>
          <w:sz w:val="18"/>
          <w:szCs w:val="18"/>
          <w:color w:val="auto"/>
        </w:rPr>
        <w:t>As of the record date of the Match Special Meeting, the Disinterested Stockholders held 55,211,534 shares of Match common stock. The Transaction Proposal was approved by Disinterested Stockholders holding 41,594,128 shares of Match common stock, which represents approximately 75% of the voting power of Match common stock held by the Disinterested Stockholders.</w:t>
      </w:r>
    </w:p>
    <w:p>
      <w:pPr>
        <w:spacing w:after="0" w:line="45" w:lineRule="exact"/>
        <w:rPr>
          <w:sz w:val="20"/>
          <w:szCs w:val="20"/>
          <w:color w:val="auto"/>
        </w:rPr>
      </w:pPr>
    </w:p>
    <w:p>
      <w:pPr>
        <w:ind w:right="280" w:firstLine="648"/>
        <w:spacing w:after="0" w:line="378" w:lineRule="auto"/>
        <w:rPr>
          <w:sz w:val="20"/>
          <w:szCs w:val="20"/>
          <w:color w:val="auto"/>
        </w:rPr>
      </w:pPr>
      <w:r>
        <w:rPr>
          <w:rFonts w:ascii="Arial" w:cs="Arial" w:eastAsia="Arial" w:hAnsi="Arial"/>
          <w:sz w:val="18"/>
          <w:szCs w:val="18"/>
          <w:color w:val="auto"/>
        </w:rPr>
        <w:t>A vote on the Match Adjournment Proposal was not necessary or appropriate because there were sufficient votes at the time of the Match Special Meeting to approve the Transaction Proposal. No other business properly came before the Match Special Meeting.</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Press Release</w:t>
      </w:r>
    </w:p>
    <w:p>
      <w:pPr>
        <w:spacing w:after="0" w:line="162" w:lineRule="exact"/>
        <w:rPr>
          <w:sz w:val="20"/>
          <w:szCs w:val="20"/>
          <w:color w:val="auto"/>
        </w:rPr>
      </w:pPr>
    </w:p>
    <w:p>
      <w:pPr>
        <w:ind w:right="20" w:firstLine="648"/>
        <w:spacing w:after="0" w:line="317" w:lineRule="auto"/>
        <w:rPr>
          <w:sz w:val="20"/>
          <w:szCs w:val="20"/>
          <w:color w:val="auto"/>
        </w:rPr>
      </w:pPr>
      <w:r>
        <w:rPr>
          <w:rFonts w:ascii="Arial" w:cs="Arial" w:eastAsia="Arial" w:hAnsi="Arial"/>
          <w:sz w:val="20"/>
          <w:szCs w:val="20"/>
          <w:color w:val="auto"/>
        </w:rPr>
        <w:t>On June 25, 2020, Match and IAC issued a joint press release announcing the results of the Match Special Meeting, which is attached hereto as Exhibit 99.1 and incorporated herein by reference.</w:t>
      </w:r>
    </w:p>
    <w:p>
      <w:pPr>
        <w:sectPr>
          <w:pgSz w:w="11900" w:h="16838" w:orient="portrait"/>
          <w:cols w:equalWidth="0" w:num="1">
            <w:col w:w="11260"/>
          </w:cols>
          <w:pgMar w:left="320" w:top="1440" w:right="319" w:bottom="1440" w:gutter="0" w:footer="0" w:header="0"/>
        </w:sectPr>
      </w:pPr>
    </w:p>
    <w:bookmarkStart w:id="3" w:name="page4"/>
    <w:bookmarkEnd w:id="3"/>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Election Results</w:t>
      </w:r>
    </w:p>
    <w:p>
      <w:pPr>
        <w:spacing w:after="0" w:line="162" w:lineRule="exact"/>
        <w:rPr>
          <w:sz w:val="20"/>
          <w:szCs w:val="20"/>
          <w:color w:val="auto"/>
        </w:rPr>
      </w:pPr>
    </w:p>
    <w:p>
      <w:pPr>
        <w:ind w:right="80" w:firstLine="648"/>
        <w:spacing w:after="0" w:line="306" w:lineRule="auto"/>
        <w:rPr>
          <w:sz w:val="20"/>
          <w:szCs w:val="20"/>
          <w:color w:val="auto"/>
        </w:rPr>
      </w:pPr>
      <w:r>
        <w:rPr>
          <w:rFonts w:ascii="Arial" w:cs="Arial" w:eastAsia="Arial" w:hAnsi="Arial"/>
          <w:sz w:val="20"/>
          <w:szCs w:val="20"/>
          <w:color w:val="auto"/>
        </w:rPr>
        <w:t>Under the terms of the Transaction Agreement, if the separation of IAC and Match is completed, each Match stockholder (other than IAC, Match or their wholly owned subsidiaries) will be entitled to receive, with respect to each share of Match common stock, one share of New Match common stock and, at each such stockholder’s election, either:</w:t>
      </w:r>
    </w:p>
    <w:p>
      <w:pPr>
        <w:spacing w:after="0" w:line="103" w:lineRule="exact"/>
        <w:rPr>
          <w:sz w:val="20"/>
          <w:szCs w:val="20"/>
          <w:color w:val="auto"/>
        </w:rPr>
      </w:pPr>
    </w:p>
    <w:p>
      <w:pPr>
        <w:ind w:left="1020" w:hanging="364"/>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0"/>
          <w:szCs w:val="20"/>
          <w:color w:val="auto"/>
        </w:rPr>
        <w:t>$3.00 in cash (a “Cash Election”); or</w:t>
      </w:r>
    </w:p>
    <w:p>
      <w:pPr>
        <w:spacing w:after="0" w:line="168" w:lineRule="exact"/>
        <w:rPr>
          <w:rFonts w:ascii="Arial" w:cs="Arial" w:eastAsia="Arial" w:hAnsi="Arial"/>
          <w:sz w:val="22"/>
          <w:szCs w:val="22"/>
          <w:color w:val="auto"/>
        </w:rPr>
      </w:pPr>
    </w:p>
    <w:p>
      <w:pPr>
        <w:ind w:left="980" w:right="40" w:hanging="324"/>
        <w:spacing w:after="0" w:line="293"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20"/>
          <w:szCs w:val="20"/>
          <w:color w:val="auto"/>
        </w:rPr>
        <w:t>a fraction of a share of New Match common stock with a value of $3.00, calculated based on the Match VWAP (as defined in the Transaction Agreement) (an “Additional Stock Election”).</w:t>
      </w:r>
    </w:p>
    <w:p>
      <w:pPr>
        <w:spacing w:after="0" w:line="85"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As of 5:00 p.m. New York City time on June 25, 2020, the election deadline, there were 5,228,526 Cash Elections and 23,236,301 Additional Stock Elections made and not withdrawn in respect of shares of Match common stock. Match stockholders who did not validly make an election are deemed to have made an Additional Stock Election with respect to their shares of Match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 Offer or Solicitation / Additional Information and Where To Find It</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212529"/>
        </w:rPr>
        <w:t>This communication is being made in respect of a proposed transaction involving IAC, New IAC, and Match.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INVESTORS AND SECURITY HOLDERS OF IAC AND MATCH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(when they become available) may also be obtained free of charge on Match’s website at www.mtch.com.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ectPr>
          <w:pgSz w:w="11900" w:h="16838" w:orient="portrait"/>
          <w:cols w:equalWidth="0" w:num="1">
            <w:col w:w="10139"/>
          </w:cols>
          <w:pgMar w:left="320" w:top="1440"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Exhibit</w:t>
      </w:r>
    </w:p>
    <w:p>
      <w:pPr>
        <w:jc w:val="right"/>
        <w:spacing w:after="0"/>
        <w:rPr>
          <w:sz w:val="20"/>
          <w:szCs w:val="20"/>
          <w:color w:val="auto"/>
        </w:rPr>
      </w:pPr>
      <w:r>
        <w:rPr>
          <w:rFonts w:ascii="Arial" w:cs="Arial" w:eastAsia="Arial" w:hAnsi="Arial"/>
          <w:sz w:val="20"/>
          <w:szCs w:val="20"/>
          <w:b w:val="1"/>
          <w:bCs w:val="1"/>
          <w:u w:val="single" w:color="auto"/>
          <w:color w:val="auto"/>
        </w:rPr>
        <w:t>Number</w:t>
      </w:r>
    </w:p>
    <w:p>
      <w:pPr>
        <w:spacing w:after="0" w:line="4" w:lineRule="exact"/>
        <w:rPr>
          <w:sz w:val="20"/>
          <w:szCs w:val="20"/>
          <w:color w:val="auto"/>
        </w:rPr>
      </w:pPr>
    </w:p>
    <w:p>
      <w:pPr>
        <w:jc w:val="center"/>
        <w:ind w:left="480"/>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99.1</w:t>
        </w:r>
      </w:hyperlink>
    </w:p>
    <w:p>
      <w:pPr>
        <w:spacing w:after="0" w:line="19"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w:t>
      </w:r>
    </w:p>
    <w:p>
      <w:pPr>
        <w:spacing w:after="0" w:line="46" w:lineRule="exact"/>
        <w:rPr>
          <w:sz w:val="20"/>
          <w:szCs w:val="20"/>
          <w:color w:val="auto"/>
        </w:rPr>
      </w:pPr>
    </w:p>
    <w:p>
      <w:pPr>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Joint Press Release, dated June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-143510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Inline XBRL for the cover page of this Current Report on Form 8-K</w:t>
      </w:r>
    </w:p>
    <w:p>
      <w:pPr>
        <w:sectPr>
          <w:pgSz w:w="11900" w:h="16838" w:orient="portrait"/>
          <w:cols w:equalWidth="0" w:num="2">
            <w:col w:w="1180" w:space="500"/>
            <w:col w:w="8459"/>
          </w:cols>
          <w:pgMar w:left="320" w:top="1440" w:right="1440" w:bottom="1440" w:gutter="0" w:footer="0" w:header="0"/>
          <w:type w:val="continuous"/>
        </w:sectPr>
      </w:pPr>
    </w:p>
    <w:bookmarkStart w:id="5" w:name="page6"/>
    <w:bookmarkEnd w:id="5"/>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MATCH GROUP, INC.</w:t>
      </w:r>
    </w:p>
    <w:p>
      <w:pPr>
        <w:spacing w:after="0" w:line="310" w:lineRule="exact"/>
        <w:rPr>
          <w:sz w:val="20"/>
          <w:szCs w:val="20"/>
          <w:color w:val="auto"/>
        </w:rPr>
      </w:pPr>
    </w:p>
    <w:p>
      <w:pPr>
        <w:ind w:left="4540"/>
        <w:spacing w:after="0"/>
        <w:tabs>
          <w:tab w:leader="none" w:pos="5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Jared 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27305</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Jared Sine</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Chief Legal Officer and Secretary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Date: June 29, 2020</w:t>
      </w:r>
    </w:p>
    <w:p>
      <w:pPr>
        <w:sectPr>
          <w:pgSz w:w="11900" w:h="16838" w:orient="portrait"/>
          <w:cols w:equalWidth="0" w:num="1">
            <w:col w:w="10880"/>
          </w:cols>
          <w:pgMar w:left="320" w:top="1440" w:right="699" w:bottom="1440" w:gutter="0" w:footer="0" w:header="0"/>
        </w:sectPr>
      </w:pPr>
    </w:p>
    <w:bookmarkStart w:id="6" w:name="page7"/>
    <w:bookmarkEnd w:id="6"/>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915035</wp:posOffset>
            </wp:positionV>
            <wp:extent cx="111442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56578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915035</wp:posOffset>
            </wp:positionV>
            <wp:extent cx="2374265"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IAC and Match Group Stockholders Approve Separation of Match Group from IAC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NEW YORK and DALLAS, June 25, 2020—</w:t>
      </w:r>
      <w:r>
        <w:rPr>
          <w:rFonts w:ascii="Arial" w:cs="Arial" w:eastAsia="Arial" w:hAnsi="Arial"/>
          <w:sz w:val="19"/>
          <w:szCs w:val="19"/>
          <w:color w:val="auto"/>
        </w:rPr>
        <w:t>IAC (NASDAQ: IAC) (“IAC”) and Match Group, Inc. (NASDAQ: MTCH)</w:t>
      </w:r>
      <w:r>
        <w:rPr>
          <w:rFonts w:ascii="Arial" w:cs="Arial" w:eastAsia="Arial" w:hAnsi="Arial"/>
          <w:sz w:val="19"/>
          <w:szCs w:val="19"/>
          <w:b w:val="1"/>
          <w:bCs w:val="1"/>
          <w:color w:val="auto"/>
        </w:rPr>
        <w:t xml:space="preserve"> </w:t>
      </w:r>
      <w:r>
        <w:rPr>
          <w:rFonts w:ascii="Arial" w:cs="Arial" w:eastAsia="Arial" w:hAnsi="Arial"/>
          <w:sz w:val="19"/>
          <w:szCs w:val="19"/>
          <w:color w:val="auto"/>
        </w:rPr>
        <w:t>(“Match Group”) today announced that at their respective stockholder meetings held today, IAC and Match Group stockholders voted to approve all proposals required to complete the separation of Match Group from the remaining businesses of IAC pursuant to the previously announced Transaction Agreement, dated as of December 19, 2019 and amended on April 28, 2020 and June 22, 2020 (the “Transaction Agreement”), by and among IAC, Match Group, IAC Holdings, Inc. (“New IAC”), and Valentine Merger Sub LLC, including a vote of a majority of the shares held by the disinterested stockholders of Match Group.</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IAC and Match Group anticipate that the separation will be completed after the close of business on June 30, 2020, subject to the satisfaction or waiver of all closing conditions.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final vote results on the proposals voted on at the IAC annual meeting and the Match Group special meeting will be set forth in separate Form 8-Ks filed by each of IAC and Match Group upon final certification by each company’s inspector of elections.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IAC</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IAC (NASDAQ: IAC) builds companies. We are guided by curiosity, a questioning of the status quo, and a desire to invent or acquire new products and brands. From the single seed that started as IAC over two decades ago have emerged 10 public companies and generations of exceptional leaders. We will always evolve, but our basic principles of financially-disciplined opportunism will never change. IAC today operates Vimeo, Dotdash and Care.com, among many others, and also has majority ownership of both Match Group, which includes Tinder, Match, PlentyOfFish, OkCupid and Hinge, and ANGI Homeservices, which includes HomeAdvisor, Angie's List and Handy. The Company is headquartered in New York City and has business operations and satellite offices worldwide.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Match Group</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Match Group (NASDAQ: MTCH), through its portfolio companies, is a leading provider of dating products available globally. Our portfolio of brands includes Tinder®, Match®, Meetic®, OkCupid®, Hinge®, Pairs™, PlentyOfFish®, and OurTime®, as well as a number of other brands, each designed to increase our users’ likelihood of finding a meaningful connection. Through our portfolio companies and their trusted brands, we provide tailored products to meet the varying preferences of our users. Our products are available in over 40 languages to users all over the world.</w:t>
      </w:r>
    </w:p>
    <w:p>
      <w:pPr>
        <w:sectPr>
          <w:pgSz w:w="11900" w:h="16838" w:orient="portrait"/>
          <w:cols w:equalWidth="0" w:num="1">
            <w:col w:w="11240"/>
          </w:cols>
          <w:pgMar w:left="320" w:top="121" w:right="339" w:bottom="1440" w:gutter="0" w:footer="0" w:header="0"/>
        </w:sectPr>
      </w:pPr>
    </w:p>
    <w:bookmarkStart w:id="7" w:name="page8"/>
    <w:bookmarkEnd w:id="7"/>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 </w:t>
      </w:r>
      <w:r>
        <w:rPr>
          <w:rFonts w:ascii="Arial" w:cs="Arial" w:eastAsia="Arial" w:hAnsi="Arial"/>
          <w:sz w:val="22"/>
          <w:szCs w:val="22"/>
          <w:b w:val="1"/>
          <w:bCs w:val="1"/>
          <w:color w:val="212529"/>
        </w:rPr>
        <w:t>Offer or Solicitation / Additional Information and Where to Find It</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212529"/>
        </w:rPr>
        <w:t>This communication is being made in respect of a proposed transaction involving IAC, New IAC and Match Group.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Group. The Form S-4 was declared effective by the SEC on April 30, 2020, and IAC and Match Group commenced mailing the joint proxy statement/prospectus to stockholders of IAC and stockholders of Match Group on or about May 4, 2020. Each party will file other documents regarding the proposed transaction with the SEC. IAC, New IAC and Match Group may file one or more other documents with the SEC. This communication is not a substitute for the joint proxy statement/prospectus or any other document that may be filed with the SEC in connection with the proposed transaction.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212529"/>
        </w:rPr>
        <w:t>INVESTORS AND SECURITY HOLDERS OF IAC AND MATCH GROUP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Group (when they become available) may be obtained free of charge on Match Group’s website at www.mtch.com.</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Forward-Looking Statements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212529"/>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 Group’s anticipated financial performance, objectives, plans and strategies, and all statements (other than statements of historical facts) that address activities, events or developments that IAC and Match Group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 Group’s management in light of their experience and their perception of historical trends, current conditions, expected future developments, and other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212529"/>
        </w:rPr>
        <w:t>factors they believe to be appropriate. IAC and Match Group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Group have filed with the SEC, competition, Match Group’s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Match Group’s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Group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Group or any required regulatory approvals), any litigation arising out of or relating to the proposed transaction, the expected tax treatment of the transaction, and the impact of the transaction on the businesses of IAC and Match Group, and other circumstances beyond IAC’s and Match Group’s control. You should not place undue reliance on these forward-looking statements. For more details on factors that could affect these expectations, please see IAC’s and Match Group’s filings with the SEC, including the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Contact 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IAC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Schneider</w:t>
      </w:r>
    </w:p>
    <w:p>
      <w:pPr>
        <w:spacing w:after="0"/>
        <w:rPr>
          <w:sz w:val="20"/>
          <w:szCs w:val="20"/>
          <w:color w:val="auto"/>
        </w:rPr>
      </w:pPr>
      <w:r>
        <w:rPr>
          <w:rFonts w:ascii="Arial" w:cs="Arial" w:eastAsia="Arial" w:hAnsi="Arial"/>
          <w:sz w:val="22"/>
          <w:szCs w:val="22"/>
          <w:color w:val="auto"/>
        </w:rPr>
        <w:t>(212) 314-7400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Match Group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Lance Barton</w:t>
      </w:r>
    </w:p>
    <w:p>
      <w:pPr>
        <w:spacing w:after="0"/>
        <w:rPr>
          <w:sz w:val="20"/>
          <w:szCs w:val="20"/>
          <w:color w:val="auto"/>
        </w:rPr>
      </w:pPr>
      <w:r>
        <w:rPr>
          <w:rFonts w:ascii="Arial" w:cs="Arial" w:eastAsia="Arial" w:hAnsi="Arial"/>
          <w:sz w:val="22"/>
          <w:szCs w:val="22"/>
          <w:color w:val="auto"/>
        </w:rPr>
        <w:t>(212) 314-7400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IAC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Valerie Combs</w:t>
      </w:r>
    </w:p>
    <w:p>
      <w:pPr>
        <w:spacing w:after="0"/>
        <w:rPr>
          <w:sz w:val="20"/>
          <w:szCs w:val="20"/>
          <w:color w:val="auto"/>
        </w:rPr>
      </w:pPr>
      <w:r>
        <w:rPr>
          <w:rFonts w:ascii="Arial" w:cs="Arial" w:eastAsia="Arial" w:hAnsi="Arial"/>
          <w:sz w:val="22"/>
          <w:szCs w:val="22"/>
          <w:color w:val="auto"/>
        </w:rPr>
        <w:t>(212) 314-7361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Match Group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Justine Sacco</w:t>
      </w:r>
    </w:p>
    <w:p>
      <w:pPr>
        <w:spacing w:after="0"/>
        <w:rPr>
          <w:sz w:val="20"/>
          <w:szCs w:val="20"/>
          <w:color w:val="auto"/>
        </w:rPr>
      </w:pPr>
      <w:r>
        <w:rPr>
          <w:rFonts w:ascii="Arial" w:cs="Arial" w:eastAsia="Arial" w:hAnsi="Arial"/>
          <w:sz w:val="22"/>
          <w:szCs w:val="22"/>
          <w:color w:val="auto"/>
        </w:rPr>
        <w:t>(212) 314-7400</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SOURCE IAC; Match Group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2020-06-30T09:36:08Z</dcterms:created>
  <dcterms:modified xsi:type="dcterms:W3CDTF">2020-06-30T09:36:08Z</dcterms:modified>
</cp:coreProperties>
</file>