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22"/>
          <w:szCs w:val="22"/>
          <w:b w:val="1"/>
          <w:bCs w:val="1"/>
          <w:color w:val="auto"/>
        </w:rPr>
        <w:t>Pursuant to Section 13 OR 15(d) of the</w:t>
      </w:r>
    </w:p>
    <w:p>
      <w:pPr>
        <w:ind w:left="4140"/>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30, 2020</w:t>
      </w:r>
    </w:p>
    <w:p>
      <w:pPr>
        <w:spacing w:after="0" w:line="20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IAC/INTERACTIVECORP</w:t>
      </w:r>
    </w:p>
    <w:p>
      <w:pPr>
        <w:spacing w:after="0" w:line="3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00"/>
          </w:cols>
          <w:pgMar w:left="320" w:top="706" w:right="47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0-20570</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8"/>
          <w:szCs w:val="18"/>
          <w:color w:val="auto"/>
        </w:rPr>
        <w:t>File No.)</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59-2712887</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9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320"/>
          </w:cols>
          <w:pgMar w:left="320" w:top="706" w:right="479" w:bottom="1440" w:gutter="0" w:footer="0" w:header="0"/>
          <w:type w:val="continuous"/>
        </w:sectPr>
      </w:pPr>
    </w:p>
    <w:p>
      <w:pPr>
        <w:spacing w:after="0" w:line="7" w:lineRule="exact"/>
        <w:rPr>
          <w:sz w:val="24"/>
          <w:szCs w:val="24"/>
          <w:color w:val="auto"/>
        </w:rPr>
      </w:pPr>
    </w:p>
    <w:p>
      <w:pPr>
        <w:ind w:left="1360"/>
        <w:spacing w:after="0"/>
        <w:rPr>
          <w:sz w:val="20"/>
          <w:szCs w:val="20"/>
          <w:color w:val="auto"/>
        </w:rPr>
      </w:pPr>
      <w:r>
        <w:rPr>
          <w:rFonts w:ascii="Arial" w:cs="Arial" w:eastAsia="Arial" w:hAnsi="Arial"/>
          <w:sz w:val="16"/>
          <w:szCs w:val="16"/>
          <w:b w:val="1"/>
          <w:bCs w:val="1"/>
          <w:color w:val="auto"/>
        </w:rPr>
        <w:t>555 West 18th Street</w:t>
      </w:r>
      <w:r>
        <w:rPr>
          <w:rFonts w:ascii="Arial" w:cs="Arial" w:eastAsia="Arial" w:hAnsi="Arial"/>
          <w:sz w:val="16"/>
          <w:szCs w:val="16"/>
          <w:color w:val="auto"/>
        </w:rPr>
        <w:t>,</w:t>
      </w:r>
      <w:r>
        <w:rPr>
          <w:rFonts w:ascii="Arial" w:cs="Arial" w:eastAsia="Arial" w:hAnsi="Arial"/>
          <w:sz w:val="16"/>
          <w:szCs w:val="16"/>
          <w:b w:val="1"/>
          <w:bCs w:val="1"/>
          <w:color w:val="auto"/>
        </w:rPr>
        <w:t xml:space="preserve"> New York</w:t>
      </w:r>
      <w:r>
        <w:rPr>
          <w:rFonts w:ascii="Arial" w:cs="Arial" w:eastAsia="Arial" w:hAnsi="Arial"/>
          <w:sz w:val="16"/>
          <w:szCs w:val="16"/>
          <w:color w:val="auto"/>
        </w:rPr>
        <w:t>,</w:t>
      </w:r>
      <w:r>
        <w:rPr>
          <w:rFonts w:ascii="Arial" w:cs="Arial" w:eastAsia="Arial" w:hAnsi="Arial"/>
          <w:sz w:val="16"/>
          <w:szCs w:val="16"/>
          <w:b w:val="1"/>
          <w:bCs w:val="1"/>
          <w:color w:val="auto"/>
        </w:rPr>
        <w:t xml:space="preserve"> NY</w:t>
      </w:r>
    </w:p>
    <w:p>
      <w:pPr>
        <w:spacing w:after="0" w:line="50" w:lineRule="exact"/>
        <w:rPr>
          <w:sz w:val="24"/>
          <w:szCs w:val="24"/>
          <w:color w:val="auto"/>
        </w:rPr>
      </w:pPr>
    </w:p>
    <w:p>
      <w:pPr>
        <w:ind w:left="13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220"/>
        <w:spacing w:after="0"/>
        <w:rPr>
          <w:sz w:val="20"/>
          <w:szCs w:val="20"/>
          <w:color w:val="auto"/>
        </w:rPr>
      </w:pPr>
      <w:r>
        <w:rPr>
          <w:rFonts w:ascii="Arial" w:cs="Arial" w:eastAsia="Arial" w:hAnsi="Arial"/>
          <w:sz w:val="18"/>
          <w:szCs w:val="18"/>
          <w:b w:val="1"/>
          <w:bCs w:val="1"/>
          <w:color w:val="auto"/>
        </w:rPr>
        <w:t>10011</w:t>
      </w:r>
    </w:p>
    <w:p>
      <w:pPr>
        <w:spacing w:after="0" w:line="27" w:lineRule="exact"/>
        <w:rPr>
          <w:sz w:val="24"/>
          <w:szCs w:val="24"/>
          <w:color w:val="auto"/>
        </w:rPr>
      </w:pPr>
    </w:p>
    <w:p>
      <w:pPr>
        <w:jc w:val="center"/>
        <w:ind w:right="222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000"/>
          </w:cols>
          <w:pgMar w:left="320" w:top="706" w:right="479" w:bottom="1440" w:gutter="0" w:footer="0" w:header="0"/>
          <w:type w:val="continuous"/>
        </w:sectPr>
      </w:pPr>
    </w:p>
    <w:p>
      <w:pPr>
        <w:spacing w:after="0" w:line="3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314-7300</w:t>
      </w:r>
    </w:p>
    <w:p>
      <w:pPr>
        <w:spacing w:after="0" w:line="229"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40" w:firstLine="8"/>
        <w:spacing w:after="0" w:line="500" w:lineRule="auto"/>
        <w:tabs>
          <w:tab w:leader="none" w:pos="207"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100"/>
          </w:cols>
          <w:pgMar w:left="320" w:top="706" w:right="479" w:bottom="1440" w:gutter="0" w:footer="0" w:header="0"/>
          <w:type w:val="continuous"/>
        </w:sectPr>
      </w:pPr>
    </w:p>
    <w:p>
      <w:pPr>
        <w:spacing w:after="0" w:line="2" w:lineRule="exact"/>
        <w:rPr>
          <w:sz w:val="24"/>
          <w:szCs w:val="24"/>
          <w:color w:val="auto"/>
        </w:rPr>
      </w:pPr>
    </w:p>
    <w:p>
      <w:pPr>
        <w:jc w:val="center"/>
        <w:ind w:right="560"/>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ind w:right="560"/>
        <w:spacing w:after="0"/>
        <w:rPr>
          <w:sz w:val="20"/>
          <w:szCs w:val="20"/>
          <w:color w:val="auto"/>
        </w:rPr>
      </w:pPr>
      <w:r>
        <w:rPr>
          <w:rFonts w:ascii="Arial" w:cs="Arial" w:eastAsia="Arial" w:hAnsi="Arial"/>
          <w:sz w:val="16"/>
          <w:szCs w:val="16"/>
          <w:b w:val="1"/>
          <w:bCs w:val="1"/>
          <w:color w:val="auto"/>
        </w:rPr>
        <w:t>Common Stock, par value $0.001</w:t>
      </w:r>
    </w:p>
    <w:p>
      <w:pPr>
        <w:spacing w:after="0" w:line="20" w:lineRule="exact"/>
        <w:rPr>
          <w:sz w:val="24"/>
          <w:szCs w:val="24"/>
          <w:color w:val="auto"/>
        </w:rPr>
      </w:pPr>
      <w:r>
        <w:rPr>
          <w:sz w:val="24"/>
          <w:szCs w:val="24"/>
          <w:color w:val="auto"/>
        </w:rPr>
        <w:br w:type="column"/>
      </w:r>
    </w:p>
    <w:p>
      <w:pPr>
        <w:jc w:val="center"/>
        <w:ind w:right="700"/>
        <w:spacing w:after="0"/>
        <w:rPr>
          <w:sz w:val="20"/>
          <w:szCs w:val="20"/>
          <w:color w:val="auto"/>
        </w:rPr>
      </w:pPr>
      <w:r>
        <w:rPr>
          <w:rFonts w:ascii="Arial" w:cs="Arial" w:eastAsia="Arial" w:hAnsi="Arial"/>
          <w:sz w:val="16"/>
          <w:szCs w:val="16"/>
          <w:color w:val="auto"/>
        </w:rPr>
        <w:t>(Trading Symbol(s))</w:t>
      </w:r>
    </w:p>
    <w:p>
      <w:pPr>
        <w:spacing w:after="0" w:line="46" w:lineRule="exact"/>
        <w:rPr>
          <w:sz w:val="24"/>
          <w:szCs w:val="24"/>
          <w:color w:val="auto"/>
        </w:rPr>
      </w:pPr>
    </w:p>
    <w:p>
      <w:pPr>
        <w:jc w:val="center"/>
        <w:ind w:right="700"/>
        <w:spacing w:after="0"/>
        <w:rPr>
          <w:sz w:val="20"/>
          <w:szCs w:val="20"/>
          <w:color w:val="auto"/>
        </w:rPr>
      </w:pPr>
      <w:r>
        <w:rPr>
          <w:rFonts w:ascii="Arial" w:cs="Arial" w:eastAsia="Arial" w:hAnsi="Arial"/>
          <w:sz w:val="18"/>
          <w:szCs w:val="18"/>
          <w:b w:val="1"/>
          <w:bCs w:val="1"/>
          <w:color w:val="auto"/>
        </w:rPr>
        <w:t>IAC</w:t>
      </w:r>
    </w:p>
    <w:p>
      <w:pPr>
        <w:spacing w:after="0" w:line="20" w:lineRule="exact"/>
        <w:rPr>
          <w:sz w:val="24"/>
          <w:szCs w:val="24"/>
          <w:color w:val="auto"/>
        </w:rPr>
      </w:pPr>
      <w:r>
        <w:rPr>
          <w:sz w:val="24"/>
          <w:szCs w:val="24"/>
          <w:color w:val="auto"/>
        </w:rPr>
        <w:br w:type="column"/>
      </w:r>
    </w:p>
    <w:p>
      <w:pPr>
        <w:jc w:val="center"/>
        <w:spacing w:after="0" w:line="263" w:lineRule="auto"/>
        <w:rPr>
          <w:sz w:val="20"/>
          <w:szCs w:val="20"/>
          <w:color w:val="auto"/>
        </w:rPr>
      </w:pPr>
      <w:r>
        <w:rPr>
          <w:rFonts w:ascii="Arial" w:cs="Arial" w:eastAsia="Arial" w:hAnsi="Arial"/>
          <w:sz w:val="18"/>
          <w:szCs w:val="18"/>
          <w:color w:val="auto"/>
        </w:rPr>
        <w:t xml:space="preserve">(Name of each exchange on which registered) </w:t>
      </w:r>
      <w:r>
        <w:rPr>
          <w:rFonts w:ascii="Arial" w:cs="Arial" w:eastAsia="Arial" w:hAnsi="Arial"/>
          <w:sz w:val="18"/>
          <w:szCs w:val="18"/>
          <w:b w:val="1"/>
          <w:bCs w:val="1"/>
          <w:color w:val="auto"/>
        </w:rPr>
        <w:t>The Nasdaq Stock Market LLC (Nasdaq Global Select Market)</w:t>
      </w:r>
    </w:p>
    <w:p>
      <w:pPr>
        <w:spacing w:after="0" w:line="184" w:lineRule="exact"/>
        <w:rPr>
          <w:sz w:val="24"/>
          <w:szCs w:val="24"/>
          <w:color w:val="auto"/>
        </w:rPr>
      </w:pPr>
    </w:p>
    <w:p>
      <w:pPr>
        <w:sectPr>
          <w:pgSz w:w="11900" w:h="16838" w:orient="portrait"/>
          <w:cols w:equalWidth="0" w:num="3">
            <w:col w:w="4180" w:space="720"/>
            <w:col w:w="2180" w:space="720"/>
            <w:col w:w="3300"/>
          </w:cols>
          <w:pgMar w:left="320" w:top="706" w:right="479" w:bottom="1440" w:gutter="0" w:footer="0" w:header="0"/>
          <w:type w:val="continuous"/>
        </w:sectPr>
      </w:pPr>
    </w:p>
    <w:p>
      <w:pPr>
        <w:ind w:right="3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706" w:right="47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June 30, 2020, IAC/InterActiveCorp, a Delaware corporation (“IAC”) and Match Group, Inc., a Delaware corporation (“Match”) initiated the corporate steps required to effect the consummation of the separation of Match from the remaining businesses of IAC, with the separation to take effect after the close of business on June 30, 2020, pursuant to the previously announced Transaction Agreement, dated as of December 19, 2019 and amended on April 28, 2020 and June 22, 2020 (the “Transaction Agreement”), by and among IAC, Match, IAC Holdings, Inc. (“New IAC”), and Valentine Merger Sub LLC. Upon close of the transaction, holders of IAC common stock are expected to be entitled to receive one share of New IAC common stock and 2.1584 shares of “new” Match common stock for each share of IAC common stock held immediately prior to the transaction. In addition, IAC and Match, respectively, have requested that the NASDAQ Global Select Market delist and suspend trading of the common stock of IAC, par value $0.001 per share (CUSIP: 44919P 508) and the common stock of Match, par value $0.001 per share (CUSIP: 57665R106).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 / Additional Information and Where to Find It</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This communication is for informational purposes only and does not constitute an offer to sell or the solicitation of an offer to buy any securities, or a solicitation of any vote or approval, nor shall there be any sale, issuance or transfer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communication is being made in respect of a proposed transaction involving IAC, New IAC and Match. In connection with the proposed transaction, on April 28, 2020, IAC and New IAC filed with the SEC an amendment to the joint registration statement on Form S-4 filed on February 13, 2020 (the “Form S-4”) that includes a joint proxy statement of IAC and Match. The Form S-4 was declared effective by the SEC on April 30, 2020, and IAC and Match commenced mailing the joint proxy statement/prospectus to stockholders of IAC and stockholders of Match on or about May 4, 2020. Each party will file other documents regarding the proposed transaction with the SEC. IAC, New IAC and Match may file one or more other documents with the SEC. This communication is not a substitute for the joint proxy statement/prospectus or any other document that may be filed with the SEC in connection with the proposed transaction.</w:t>
      </w:r>
    </w:p>
    <w:p>
      <w:pPr>
        <w:spacing w:after="0" w:line="19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INVESTORS AND SECURITY HOLDERS OF IAC ARE URGED TO READ THE DEFINITIVE JOINT PROXY STATEMENT/PROSPECTUS AND OTHER DOCUMENTS FILED WITH THE SEC CAREFULLY AND IN THEIR ENTIRETY WHEN THEY BECOME AVAILABLE BECAUSE THEY WILL CONTAIN IMPORTANT INFORMATION ABOUT THE PROPOSED TRANSACTION.</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Investors and security holders will be able to obtain these materials (when they are available) and other documents filed with the SEC free of charge at the SEC’s website, www.sec.gov. Copies of documents filed with the SEC by IAC (when they become available) may be obtained free of charge on IAC’s website at www.iac.com.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Certain statements and information in this report may be deemed to be “forward-looking statements” within the meaning of the Federal Private Securities Litigation Reform Act of 1995. Forward-looking statements may include, but are not limited to, statements relating to IAC’s and Match’s anticipated financial performance, objectives, plans and strategies, and all statements (other than statements of historical facts) that address activities, events or developments that IAC and Match intend, expect, project, believe or anticipate will or may occur in the future. These statements are often characterized by terminology such as “believe,” “hope,” “may,” “anticipate,” “should,” “intend,” “plan,” “will,” “expect,” “estimate,” “project,” “positioned,” “strategy” and similar expressions, and are based on assumptions and assessments made by IAC’s and Match’s management in light of their experience and their perception of historical trends, current conditions, expected future developments, and other factors they believe to be appropriate. IAC and Match undertake no duty to update or revise any such statements, whether as a result of new information, future events or otherwise. Forward-looking statements are not guarantees of future performance. Whether actual results will conform to expectations and predictions is subject to known and unknown risks and uncertainties, including: risks and uncertainties discussed in the joint proxy statement/prospectus and other reports that IAC and Match have filed with the SEC; competition; Match’s ability to maintain user rates on its higher-monetizing dating products; the companies’ ability to attract users to their products and services through cost-effective marketing and related efforts; changes in the companies’ relationship with (or policies implemented by) Google; foreign currency exchange rate fluctuations; the companies’ ability to distribute their products through third parties and offset related fees; the integrity and scalability of the companies’ systems and infrastructure (and those of third parties) and the companies’ ability to adapt their systems and infrastructure to changes in a timely and cost-effective manner; the companies’ ability to protect their systems from cyberattacks and to protect personal and confidential user information; risks relating to certain of the companies’ international operations and acquisitions; the impact of the outbreak of the COVID-19 coronavirus, or any subsequent or similar epidemic or pandemic; the risks inherent in separating Match from IAC, including uncertainties related to, among other things, the costs and expected benefits of the proposed transaction, the calculation of, and factors that may impact the calculation of, the exchange ratio at which shares of IAC capital stock will be converted into the right to receive new shares of the post-separation Match Group in connection with the transaction, the expected timing of the transaction or whether it will be completed, whether the conditions to the transaction can be satisfied or any event, change or other circumstance occurs that could give rise to the termination of the transaction agreement (including the failure to receive any required approvals from the stockholders of IAC and Match or any required regulatory approvals), any litigation arising out of or relating to the proposed transaction, the expected tax treatment of the transaction, and the impact of the transaction on the businesses of IAC and Match; and other circumstances beyond IAC’s and Match’s control. You should not place undue reliance on these forward-looking statements. For more details on factors that could affect these expectations, please see IAC’s and Match’s filings with the SEC, including the joint proxy statement/prospectus.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IAC/INTERACTIVECORP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Gregg Winiarski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Gregg Winiarski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General Counsel &amp;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80"/>
      </w:cols>
      <w:pgMar w:left="320" w:top="904"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2020-06-30T16:14:23Z</dcterms:created>
  <dcterms:modified xsi:type="dcterms:W3CDTF">2020-06-30T16:14:23Z</dcterms:modified>
</cp:coreProperties>
</file>