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8"/>
                </w:rPr>
                <w:t>Clinton Chelsea</w:t>
              </w:r>
            </w:hyperlink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IAC/INTERACTIVECORP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IAC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IAC/INTERACTIVECORP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555 WEST 18TH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Common Stock, par value $0.001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323.4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37,004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-2874010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 units accrued under the Non-Employee Director Deferred Compensation Plan as of the date of this report.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7"/>
        <w:spacing w:after="0" w:line="25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Includes: (i) 31,551 shares of IAC common stock held directly by the reporting person and (ii) 5,453 share units accrued under the Non-Employee Director Deferred Compensation Plan as of the date of this report.</w:t>
      </w:r>
    </w:p>
    <w:p>
      <w:pPr>
        <w:ind w:left="658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Tanya M. Stanich as Attorney-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06/30/2020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19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Chelsea Clinton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200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30920" TargetMode="External"/><Relationship Id="rId14" Type="http://schemas.openxmlformats.org/officeDocument/2006/relationships/hyperlink" Target="http://www.sec.gov/cgi-bin/browse-edgar?action=getcompany&amp;CIK=00008911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2020-06-30T18:25:49Z</dcterms:created>
  <dcterms:modified xsi:type="dcterms:W3CDTF">2020-06-30T18:25:49Z</dcterms:modified>
</cp:coreProperties>
</file>