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25, 2020</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IAC/INTERACTIVECORP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706" w:right="47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0-20570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File No.)</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59-2712887</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320"/>
          </w:cols>
          <w:pgMar w:left="320" w:top="706" w:right="479" w:bottom="1440" w:gutter="0" w:footer="0" w:header="0"/>
          <w:type w:val="continuous"/>
        </w:sectPr>
      </w:pPr>
    </w:p>
    <w:p>
      <w:pPr>
        <w:spacing w:after="0" w:line="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555 West 18th Street</w:t>
      </w:r>
      <w:r>
        <w:rPr>
          <w:rFonts w:ascii="Arial" w:cs="Arial" w:eastAsia="Arial" w:hAnsi="Arial"/>
          <w:sz w:val="16"/>
          <w:szCs w:val="16"/>
          <w:color w:val="auto"/>
        </w:rPr>
        <w:t>,</w:t>
      </w:r>
      <w:r>
        <w:rPr>
          <w:rFonts w:ascii="Arial" w:cs="Arial" w:eastAsia="Arial" w:hAnsi="Arial"/>
          <w:sz w:val="16"/>
          <w:szCs w:val="16"/>
          <w:b w:val="1"/>
          <w:bCs w:val="1"/>
          <w:color w:val="auto"/>
        </w:rPr>
        <w:t xml:space="preserve"> New York</w:t>
      </w:r>
      <w:r>
        <w:rPr>
          <w:rFonts w:ascii="Arial" w:cs="Arial" w:eastAsia="Arial" w:hAnsi="Arial"/>
          <w:sz w:val="16"/>
          <w:szCs w:val="16"/>
          <w:color w:val="auto"/>
        </w:rPr>
        <w:t>,</w:t>
      </w:r>
      <w:r>
        <w:rPr>
          <w:rFonts w:ascii="Arial" w:cs="Arial" w:eastAsia="Arial" w:hAnsi="Arial"/>
          <w:sz w:val="16"/>
          <w:szCs w:val="16"/>
          <w:b w:val="1"/>
          <w:bCs w:val="1"/>
          <w:color w:val="auto"/>
        </w:rPr>
        <w:t xml:space="preserve"> NY</w:t>
      </w:r>
    </w:p>
    <w:p>
      <w:pPr>
        <w:spacing w:after="0" w:line="50"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000"/>
          </w:cols>
          <w:pgMar w:left="320" w:top="706" w:right="479" w:bottom="144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314-7300</w:t>
      </w:r>
    </w:p>
    <w:p>
      <w:pPr>
        <w:spacing w:after="0" w:line="229"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706" w:right="479" w:bottom="1440" w:gutter="0" w:footer="0" w:header="0"/>
          <w:type w:val="continuous"/>
        </w:sectPr>
      </w:pPr>
    </w:p>
    <w:p>
      <w:pPr>
        <w:spacing w:after="0" w:line="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Common Stock, par value $0.001</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IAC</w:t>
      </w:r>
    </w:p>
    <w:p>
      <w:pPr>
        <w:spacing w:after="0" w:line="20" w:lineRule="exact"/>
        <w:rPr>
          <w:sz w:val="24"/>
          <w:szCs w:val="24"/>
          <w:color w:val="auto"/>
        </w:rPr>
      </w:pPr>
      <w:r>
        <w:rPr>
          <w:sz w:val="24"/>
          <w:szCs w:val="24"/>
          <w:color w:val="auto"/>
        </w:rPr>
        <w:br w:type="column"/>
      </w:r>
    </w:p>
    <w:p>
      <w:pPr>
        <w:jc w:val="center"/>
        <w:spacing w:after="0" w:line="263" w:lineRule="auto"/>
        <w:rPr>
          <w:sz w:val="20"/>
          <w:szCs w:val="20"/>
          <w:color w:val="auto"/>
        </w:rPr>
      </w:pPr>
      <w:r>
        <w:rPr>
          <w:rFonts w:ascii="Arial" w:cs="Arial" w:eastAsia="Arial" w:hAnsi="Arial"/>
          <w:sz w:val="18"/>
          <w:szCs w:val="18"/>
          <w:color w:val="auto"/>
        </w:rPr>
        <w:t xml:space="preserve">(Name of each exchange on which registered) </w:t>
      </w:r>
      <w:r>
        <w:rPr>
          <w:rFonts w:ascii="Arial" w:cs="Arial" w:eastAsia="Arial" w:hAnsi="Arial"/>
          <w:sz w:val="18"/>
          <w:szCs w:val="18"/>
          <w:b w:val="1"/>
          <w:bCs w:val="1"/>
          <w:color w:val="auto"/>
        </w:rPr>
        <w:t>The Nasdaq Stock Market LLC (Nasdaq Global Select Market)</w:t>
      </w:r>
    </w:p>
    <w:p>
      <w:pPr>
        <w:spacing w:after="0" w:line="184" w:lineRule="exact"/>
        <w:rPr>
          <w:sz w:val="24"/>
          <w:szCs w:val="24"/>
          <w:color w:val="auto"/>
        </w:rPr>
      </w:pPr>
    </w:p>
    <w:p>
      <w:pPr>
        <w:sectPr>
          <w:pgSz w:w="11900" w:h="16838" w:orient="portrait"/>
          <w:cols w:equalWidth="0" w:num="3">
            <w:col w:w="4180" w:space="720"/>
            <w:col w:w="2180" w:space="720"/>
            <w:col w:w="3300"/>
          </w:cols>
          <w:pgMar w:left="320" w:top="706" w:right="479" w:bottom="1440" w:gutter="0" w:footer="0" w:header="0"/>
          <w:type w:val="continuous"/>
        </w:sect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06"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25, 2020, IAC/InterActiveCorp (“IAC” or the “Company”) held its Annual Meeting of Stockholders (the “Annual Meeting”). At the Annual Meeting, stockholders of the Company voted on the proposals set forth below. The proposals are described in detail in the definitive joint proxy statement/prospectus filed on April 30, 2020 by the Company with the U.S. Securities and Exchange Commission (the “SEC”). The final voting results on each of the matters submitted to a vote of the Company’s stockholders at the Annual Meeting are set forth below.</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the close of business on May 4, 2020, the record date for the Annual Meeting, there were 79,246,026 shares of IAC common stock (entitled to one vote per share) and 5,789,499 shares of IAC Class B common stock (entitled to ten votes per share) outstanding and entitled to vote on the record date for the Annual Meeting.</w:t>
      </w:r>
    </w:p>
    <w:p>
      <w:pPr>
        <w:spacing w:after="0" w:line="184" w:lineRule="exact"/>
        <w:rPr>
          <w:sz w:val="20"/>
          <w:szCs w:val="20"/>
          <w:color w:val="auto"/>
        </w:rPr>
      </w:pPr>
    </w:p>
    <w:p>
      <w:pPr>
        <w:ind w:left="340" w:right="20" w:hanging="332"/>
        <w:spacing w:after="0" w:line="296" w:lineRule="auto"/>
        <w:tabs>
          <w:tab w:leader="none" w:pos="421"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approve amendments to the IAC certificate of incorporation that will effect the separation of the businesses of Match Group, Inc. (“Match”) from the remaining businesses of IAC through a series of transactions (the “Separation”) that will result in the pre-transaction stockholders of IAC owning shares in two, separate public companies—(1) IAC, which will be renamed “Match Group, Inc.” and which will own the businesses of Match and certain IAC financing subsidiaries (“New Match”), and (2) IAC Holdings, Inc., a Delaware corporation and currently a direct wholly owned subsidiary of IAC (“New IAC”), which will be renamed “IAC/InterActiveCorp” and which will own IAC’s other businesses—by:</w:t>
      </w:r>
    </w:p>
    <w:p>
      <w:pPr>
        <w:spacing w:after="0" w:line="161" w:lineRule="exact"/>
        <w:rPr>
          <w:rFonts w:ascii="Arial" w:cs="Arial" w:eastAsia="Arial" w:hAnsi="Arial"/>
          <w:sz w:val="16"/>
          <w:szCs w:val="16"/>
          <w:color w:val="auto"/>
        </w:rPr>
      </w:pPr>
    </w:p>
    <w:p>
      <w:pPr>
        <w:ind w:left="660" w:right="180" w:hanging="328"/>
        <w:spacing w:after="0" w:line="26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Reclassifying each share of IAC common stock into a number of new shares of IAC Class M common stock equal to the Reclassification Exchange Ratio and one share of IAC series 1 mandatorily exchangeable preferred stock that will automatically exchange into one share of New IAC common stock immediately following the reclassification; and</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Reclassifying each share of IAC Class B common stock into a number of shares of IAC Class M common stock equal to the Reclassification Exchange Ratio and one share of IAC series 2 mandatorily exchangeable preferred stock, that will automatically exchange into one share of New IAC Class B common stock immediately following the reclassification.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proposal was approved on the basis of the following voting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a)    IAC common stock</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56,760,558</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21,829</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11,746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640" w:hanging="46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IAC Class B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57,894,990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bl>
    <w:p>
      <w:pPr>
        <w:spacing w:after="0" w:line="202" w:lineRule="exact"/>
        <w:rPr>
          <w:sz w:val="20"/>
          <w:szCs w:val="20"/>
          <w:color w:val="auto"/>
        </w:rPr>
      </w:pPr>
    </w:p>
    <w:p>
      <w:pPr>
        <w:ind w:left="640" w:hanging="46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shares of IAC common stock and IAC Class B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114,655,548</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21,829</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11,746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100" w:hanging="332"/>
        <w:spacing w:after="0" w:line="270" w:lineRule="auto"/>
        <w:tabs>
          <w:tab w:leader="none" w:pos="4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to approve amendments to the IAC certificate of incorporation to provide, following the Separation, for (i) the classification of the board of directors of New Match, with directors serving staggered three-year terms of office, (ii) the removal of members of the board of directors of New Match from office by stockholders being permitted only for cause and with the affirmative vote of not less than a majority of the total voting power of shares of New Match capital stock outstanding and entitled to vote, subject to any rights of holders of preferred stock, (iii) the exclusive right of the board of directors of New Match to fill director vacancies, subject to any rights of holders of preferred stock, (iv) no officer or director of New Match who is also an officer or director of New IAC having liability to New Match or its stockholders for breach of any fiduciary duty by reason of the fact that any such individual directs a corporate opportunity to New IAC instead of New Match, or does not communicate information regarding a corporate opportunity to New Match that the officer or director has directed to New IAC and (v) certain ministerial amendments to the IAC certificate of incorporation. The proposal was approved on the basis of the following voting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ind w:left="88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84,476,760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30,199,293</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13,070</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110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340" w:right="320" w:hanging="332"/>
        <w:spacing w:after="0" w:line="263" w:lineRule="auto"/>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amendments to the IAC certificate of incorporation that will prohibit, following the Separation, action by written consent of stockholders of New Match in lieu of a stockholder meeting, subject to any rights of holders of preferred stock. The proposal was approved on the basis of the following voting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ind w:left="88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83,593,266</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31,082,222</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13,635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100" w:hanging="332"/>
        <w:spacing w:after="0" w:line="257" w:lineRule="auto"/>
        <w:tabs>
          <w:tab w:leader="none" w:pos="37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approve certain other amendments to the IAC certificate of incorporation as further described in the joint proxy statement/prospectus, including amendments to provide, following the Separation, for the renaming of New Match as “Match Group, Inc.” and the elimination of all classes and series of authorized capital stock of New Match as of immediately prior to the completion of the Separation other than New Match common stock (at which time the IAC Class M common stock would be renamed New Match common stock) and New Match preferred stock. The proposal was approved on the basis of the following voting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114,648,520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26,086</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14,517</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20" w:hanging="332"/>
        <w:spacing w:after="0" w:line="263" w:lineRule="auto"/>
        <w:tabs>
          <w:tab w:leader="none" w:pos="37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proposal to approve the issuance of shares of IAC Class M common stock in connection with the transactions contemplated by the Transaction Agreement, dated as of December 19, 2019 and amended as of April 28, 2020 and June 22, 2020, by and among IAC, New IAC, Valentine Merger Sub LLC and Match. The proposal was approved on the basis of the following voting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114,595,226</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77,235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16,662</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500" w:hanging="332"/>
        <w:spacing w:after="0" w:line="308" w:lineRule="auto"/>
        <w:tabs>
          <w:tab w:leader="none" w:pos="3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proposal to approve the IAC/InterActiveCorp 2020 Stock and Annual Incentive Plan (which will remain with New Match and be renamed the Match Group, Inc. 2020 Stock and Annual Incentive Plan). The proposal was approved on the basis of the following voting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112,751,884</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1,906,392</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30,847</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60" w:hanging="332"/>
        <w:spacing w:after="0" w:line="277" w:lineRule="auto"/>
        <w:tabs>
          <w:tab w:leader="none" w:pos="3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approve the adjournment of the Annual Meeting, if necessary or appropriate, to solicit additional proxies if there are not sufficient votes to approve the foregoing proposals. The proposal was approved on the basis of the following voting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ind w:left="88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99,644,956</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19,788,828</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35,916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94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340" w:right="100" w:hanging="332"/>
        <w:spacing w:after="0" w:line="259" w:lineRule="auto"/>
        <w:tabs>
          <w:tab w:leader="none" w:pos="3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proposal to elect 11 members to the IAC board of directors, each to hold office until the next succeeding annual meeting of stockholders or until such director's successor shall have been duly elected and qualified (or, if earlier, such director's removal or resignation from the IAC board of directors, including in connection with the completion of the Separation). The stockholders elected each of the nominees to the IAC board of directors on the basis of the following voting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340"/>
              <w:spacing w:after="0"/>
              <w:rPr>
                <w:sz w:val="20"/>
                <w:szCs w:val="20"/>
                <w:color w:val="auto"/>
              </w:rPr>
            </w:pPr>
            <w:r>
              <w:rPr>
                <w:rFonts w:ascii="Arial" w:cs="Arial" w:eastAsia="Arial" w:hAnsi="Arial"/>
                <w:sz w:val="18"/>
                <w:szCs w:val="18"/>
                <w:color w:val="auto"/>
              </w:rPr>
              <w:t>Elected by holders of IAC common stock voting as a separate class: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BROKER NON-</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WITHHELD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VOTES</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Bryan Lourd</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55,156,428</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1,637,705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Alan G. Spoon</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46,672,879</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10,121,254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Richard F. Zannino</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55,862,034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932,099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Elected by holders of IAC common stock and IAC Class B common stock, voting together as a single class: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BROKER NON-</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WITHHELD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VOTES</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Chelsea Clinton</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113,986,129</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702,994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Barry Diller</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110,719,242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3,969,881</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Michael D. Eisner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109,090,539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5,598,584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Bonnie S. Hammer</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113,079,702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1,609,421</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Victor A. Kaufman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111,904,554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2,784,569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Joseph Levin</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113,040,862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1,648,261</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David Rosenblatt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113,624,042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1,065,081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Alexander von Furstenberg</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110,490,897</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4,198,226</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187" w:lineRule="exact"/>
        <w:rPr>
          <w:sz w:val="20"/>
          <w:szCs w:val="20"/>
          <w:color w:val="auto"/>
        </w:rPr>
      </w:pPr>
    </w:p>
    <w:p>
      <w:pPr>
        <w:ind w:left="340" w:right="500" w:hanging="332"/>
        <w:spacing w:after="0" w:line="277" w:lineRule="auto"/>
        <w:tabs>
          <w:tab w:leader="none" w:pos="3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IAC’s independent registered public accounting firm for the 2020 fiscal year. The proposal was approved on the basis of the following voting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3800" w:type="dxa"/>
            <w:vAlign w:val="bottom"/>
            <w:gridSpan w:val="2"/>
          </w:tcPr>
          <w:p>
            <w:pPr>
              <w:ind w:left="1440"/>
              <w:spacing w:after="0"/>
              <w:rPr>
                <w:sz w:val="20"/>
                <w:szCs w:val="20"/>
                <w:color w:val="auto"/>
              </w:rPr>
            </w:pPr>
            <w:r>
              <w:rPr>
                <w:rFonts w:ascii="Arial" w:cs="Arial" w:eastAsia="Arial" w:hAnsi="Arial"/>
                <w:sz w:val="18"/>
                <w:szCs w:val="18"/>
                <w:b w:val="1"/>
                <w:bCs w:val="1"/>
                <w:color w:val="auto"/>
              </w:rPr>
              <w:t>AGAINST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7"/>
              </w:rPr>
              <w:t>ABSTAIN</w:t>
            </w:r>
          </w:p>
        </w:tc>
      </w:tr>
      <w:tr>
        <w:trPr>
          <w:trHeight w:val="210"/>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117,816,292</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11,626,037</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rPr>
              <w:t>27,371</w:t>
            </w:r>
          </w:p>
        </w:tc>
      </w:tr>
    </w:tbl>
    <w:p>
      <w:pPr>
        <w:spacing w:after="0" w:line="2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 proposal to hold an advisory vote on IAC’s executive compensation. The proposal was approved on the basis of the following voting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9"/>
              </w:rPr>
              <w:t>FOR</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8"/>
              </w:rPr>
              <w:t>BROKER NON-VOTES</w:t>
            </w:r>
          </w:p>
        </w:tc>
      </w:tr>
      <w:tr>
        <w:trPr>
          <w:trHeight w:val="210"/>
        </w:trPr>
        <w:tc>
          <w:tcPr>
            <w:tcW w:w="8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7"/>
              </w:rPr>
              <w:t>106,245,376</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8,384,888</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58,859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4,780,577</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8.01.</w:t>
            </w:r>
          </w:p>
        </w:tc>
        <w:tc>
          <w:tcPr>
            <w:tcW w:w="208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Events.</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June 25, 2020, the Company and Match issued a joint press release announcing the results of the Annual Meeting and the Special Meeting of Match stockholders held on June 25, 2020, which is attached hereto as Exhibit 99.1 and incorporated herein by reference. The Company and Match anticipate that the Separation will be completed after the close of business on June 30, 2020, subject to the satisfaction or waiver of all closing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b w:val="1"/>
          <w:bCs w:val="1"/>
          <w:color w:val="212529"/>
        </w:rPr>
        <w:t>Offer or Solicitation / Additional Information and Where to Find It</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212529"/>
        </w:rPr>
        <w:t>This communication is being made in respect of a proposed transaction involving IAC, New IAC and Match. In connection with the proposed transaction, on April 28, 2020, IAC and New IAC filed with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12529"/>
        </w:rPr>
        <w:t>INVESTORS AND SECURITY HOLDERS OF IAC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20" w:hanging="564"/>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195"/>
        </w:trPr>
        <w:tc>
          <w:tcPr>
            <w:tcW w:w="1020" w:type="dxa"/>
            <w:vAlign w:val="bottom"/>
          </w:tcPr>
          <w:p>
            <w:pPr>
              <w:jc w:val="center"/>
              <w:ind w:right="230"/>
              <w:spacing w:after="0" w:line="195"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99.1</w:t>
              </w:r>
            </w:hyperlink>
          </w:p>
        </w:tc>
        <w:tc>
          <w:tcPr>
            <w:tcW w:w="220" w:type="dxa"/>
            <w:vAlign w:val="bottom"/>
          </w:tcPr>
          <w:p>
            <w:pPr>
              <w:spacing w:after="0"/>
              <w:rPr>
                <w:sz w:val="16"/>
                <w:szCs w:val="16"/>
                <w:color w:val="auto"/>
              </w:rPr>
            </w:pPr>
          </w:p>
        </w:tc>
        <w:tc>
          <w:tcPr>
            <w:tcW w:w="10000" w:type="dxa"/>
            <w:vAlign w:val="bottom"/>
          </w:tcPr>
          <w:p>
            <w:pPr>
              <w:ind w:left="20"/>
              <w:spacing w:after="0" w:line="195"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Joint Press Release, dated as of June 25, 2020.</w:t>
              </w:r>
            </w:hyperlink>
          </w:p>
        </w:tc>
      </w:tr>
      <w:tr>
        <w:trPr>
          <w:trHeight w:val="230"/>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IAC/INTERACTIVECORP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Gregg Winiarski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Gregg Winiarski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165100</wp:posOffset>
            </wp:positionV>
            <wp:extent cx="48348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348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IAC and Match Group Stockholders Approve Separation of Match Group from IAC</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NEW YORK and DALLAS, June 25, 2020—</w:t>
      </w:r>
      <w:r>
        <w:rPr>
          <w:rFonts w:ascii="Arial" w:cs="Arial" w:eastAsia="Arial" w:hAnsi="Arial"/>
          <w:sz w:val="16"/>
          <w:szCs w:val="16"/>
          <w:color w:val="auto"/>
        </w:rPr>
        <w:t>IAC (NASDAQ: IAC) (“IAC”) and Match Group, Inc. (NASDAQ: MTCH) (“Match Group”)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at their respective stockholder meetings held today, IAC and Match Group stockholders voted to approve all proposals required to complete the separation of Match Group from the remaining businesses of IAC pursuant to the previously announced Transaction Agreement, dated as of December 19, 2019 and amended on April 28, 2020 and June 22, 2020 (the “Transaction Agreement”), by and among IAC, Match Group, IAC Holdings, Inc. (“New IAC”), and Valentine Merger Sub LLC, including a vote of a majority of the shares held by the disinterested stockholders of Match Group.</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IAC and Match Group anticipate that the separation will be completed after the close of business on June 30, 2020, subject to the satisfaction or waiver of all closing conditions.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final vote results on the proposals voted on at the IAC annual meeting and the Match Group special meeting will be set forth in separate Form 8-Ks filed by each of IAC and Match Group upon final certification by each company’s inspector of elections.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IAC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IAC (NASDAQ: IAC) builds companies. We are guided by curiosity, a questioning of the status quo, and a desire to invent or acquire new products and brands. From the single seed that started as IAC over two decades ago have emerged 10 public companies and generations of exceptional leaders. We will always evolve, but our basic principles of financially-disciplined opportunism will never change. IAC today operates Vimeo, Dotdash and Care.com, among many others, and also has majority ownership of both Match Group, which includes Tinder, Match, PlentyOfFish, OkCupid and Hinge, and ANGI Homeservices, which includes HomeAdvisor, Angie's List and Handy. The Company is headquartered in New York City and has business operations and satellite offices worldwide.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Match Group</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Match Group (NASDAQ: MTCH), through its portfolio companies, is a leading provider of dating products available globally. Our portfolio of brands includes Tinder®, Match®, Meetic®, OkCupid®, Hinge®, Pairs™, PlentyOfFish®, and OurTime®, as well as a number of other brands, each designed to increase our users’ likelihood of finding a meaningful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Through our portfolio companies and their trusted brands, we provide tailored products to meet the varying preferences of our users. Our products are available in over 40 languages to users all over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b w:val="1"/>
          <w:bCs w:val="1"/>
          <w:color w:val="212529"/>
        </w:rPr>
        <w:t>Offer or Solicitation / Additional Information and Where to Find 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This communication is being made in respect of a proposed transaction involving IAC, New IAC and Match Group.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Group. The Form S-4 was declared effective by the SEC on April 30, 2020, and IAC and Match Group commenced mailing the joint proxy statement/prospectus to stockholders of IAC and stockholders of Match Group on or about May 4, 2020. Each party will file other documents regarding the proposed transaction with the SEC. IAC, New IAC and Match Group may file one or more other documents with the SEC. This communication is not a substitute for the joint proxy statement/prospectus or any other document that may be filed with the SEC in connection with the proposed transaction.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INVESTORS AND SECURITY HOLDERS OF IAC AND MATCH GROUP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Group (when they become available) may be obtained free of charge on Match Group’s website at www.mtch.com.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12529"/>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12529"/>
        </w:rPr>
        <w:t>Certain statements and information in this communication may be deemed to be “forward-looking statements” within the meaning of the Federal Private Securities Litigation Reform Act of 1995. Forward-looking statements may include, but are not limited to, statements relating to IAC’s and Match Group’s anticipated financial performance, objectives, plans and strategies, and all statements (other than statements of historical facts) that address activities, events or developments that IAC and Match Group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 Group’s management in light of their experience and their perception of historical trends, current conditions, expected future developments, and other factors they believe to be appropriate. IAC and Match Group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Group have filed with the SEC, competition, Match Group’s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Match Group’s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Group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Group or any required regulatory approvals), any litigation arising out of or relating to the proposed transaction, the expected tax treatment of the transaction, and the impact of the transaction on the businesses of IAC and Match Group, and other circumstances beyond IAC’s and Match Group’s control. You should not place undue reliance on these forward-looking statements. For more details on factors that could affect these expectations, please see IAC’s and Match Group’s filings with the SEC, including the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Contact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Schneider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Group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Lance Barton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Valerie Combs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314-7361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Group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Justine Sacco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IAC; Match Group</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
      <w:numFmt w:val="bullet"/>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2020-06-29T05:12:03Z</dcterms:created>
  <dcterms:modified xsi:type="dcterms:W3CDTF">2020-06-29T05:12:03Z</dcterms:modified>
</cp:coreProperties>
</file>