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900" w:type="dxa"/>
        <w:tblCellMar>
          <w:top w:w="0" w:type="dxa"/>
          <w:left w:w="0" w:type="dxa"/>
          <w:bottom w:w="0" w:type="dxa"/>
          <w:right w:w="0" w:type="dxa"/>
        </w:tblCellMar>
      </w:tblPr>
      <w:tr>
        <w:trPr>
          <w:trHeight w:val="283"/>
        </w:trPr>
        <w:tc>
          <w:tcPr>
            <w:tcW w:w="5440" w:type="dxa"/>
            <w:vAlign w:val="bottom"/>
            <w:gridSpan w:val="2"/>
          </w:tcPr>
          <w:p>
            <w:pPr>
              <w:jc w:val="center"/>
              <w:ind w:right="1000"/>
              <w:spacing w:after="0"/>
              <w:rPr>
                <w:sz w:val="20"/>
                <w:szCs w:val="20"/>
                <w:color w:val="auto"/>
              </w:rPr>
            </w:pPr>
            <w:r>
              <w:rPr>
                <w:rFonts w:ascii="Arial" w:cs="Arial" w:eastAsia="Arial" w:hAnsi="Arial"/>
                <w:sz w:val="22"/>
                <w:szCs w:val="22"/>
                <w:color w:val="auto"/>
                <w:w w:val="92"/>
              </w:rPr>
              <w:t>UNITED STATES</w:t>
            </w:r>
          </w:p>
        </w:tc>
        <w:tc>
          <w:tcPr>
            <w:tcW w:w="18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OMB APPROVAL</w:t>
            </w:r>
          </w:p>
        </w:tc>
        <w:tc>
          <w:tcPr>
            <w:tcW w:w="1780" w:type="dxa"/>
            <w:vAlign w:val="bottom"/>
            <w:tcBorders>
              <w:top w:val="single" w:sz="8" w:color="2C2C2C"/>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Borders>
              <w:bottom w:val="single" w:sz="8" w:color="2C2C2C"/>
            </w:tcBorders>
          </w:tcPr>
          <w:p>
            <w:pPr>
              <w:spacing w:after="0" w:line="20" w:lineRule="exact"/>
              <w:rPr>
                <w:sz w:val="1"/>
                <w:szCs w:val="1"/>
                <w:color w:val="auto"/>
              </w:rPr>
            </w:pPr>
          </w:p>
        </w:tc>
        <w:tc>
          <w:tcPr>
            <w:tcW w:w="1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3"/>
        </w:trPr>
        <w:tc>
          <w:tcPr>
            <w:tcW w:w="5440" w:type="dxa"/>
            <w:vAlign w:val="bottom"/>
            <w:gridSpan w:val="2"/>
          </w:tcPr>
          <w:p>
            <w:pPr>
              <w:jc w:val="center"/>
              <w:ind w:right="1000"/>
              <w:spacing w:after="0"/>
              <w:rPr>
                <w:sz w:val="20"/>
                <w:szCs w:val="20"/>
                <w:color w:val="auto"/>
              </w:rPr>
            </w:pPr>
            <w:r>
              <w:rPr>
                <w:rFonts w:ascii="Arial" w:cs="Arial" w:eastAsia="Arial" w:hAnsi="Arial"/>
                <w:sz w:val="22"/>
                <w:szCs w:val="22"/>
                <w:color w:val="auto"/>
                <w:w w:val="95"/>
              </w:rPr>
              <w:t>SECURITIES AND EXCHANGE COMMISSION</w:t>
            </w:r>
          </w:p>
        </w:tc>
        <w:tc>
          <w:tcPr>
            <w:tcW w:w="1860" w:type="dxa"/>
            <w:vAlign w:val="bottom"/>
          </w:tcPr>
          <w:p>
            <w:pPr>
              <w:ind w:left="60"/>
              <w:spacing w:after="0"/>
              <w:rPr>
                <w:sz w:val="20"/>
                <w:szCs w:val="20"/>
                <w:color w:val="auto"/>
              </w:rPr>
            </w:pPr>
            <w:r>
              <w:rPr>
                <w:rFonts w:ascii="Arial" w:cs="Arial" w:eastAsia="Arial" w:hAnsi="Arial"/>
                <w:sz w:val="22"/>
                <w:szCs w:val="22"/>
                <w:color w:val="auto"/>
              </w:rPr>
              <w:t>OMB Number:</w:t>
            </w:r>
          </w:p>
        </w:tc>
        <w:tc>
          <w:tcPr>
            <w:tcW w:w="1780" w:type="dxa"/>
            <w:vAlign w:val="bottom"/>
          </w:tcPr>
          <w:p>
            <w:pPr>
              <w:ind w:left="180"/>
              <w:spacing w:after="0"/>
              <w:rPr>
                <w:sz w:val="20"/>
                <w:szCs w:val="20"/>
                <w:color w:val="auto"/>
              </w:rPr>
            </w:pPr>
            <w:r>
              <w:rPr>
                <w:rFonts w:ascii="Arial" w:cs="Arial" w:eastAsia="Arial" w:hAnsi="Arial"/>
                <w:sz w:val="22"/>
                <w:szCs w:val="22"/>
                <w:color w:val="auto"/>
              </w:rPr>
              <w:t>3235-0080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5440" w:type="dxa"/>
            <w:vAlign w:val="bottom"/>
            <w:gridSpan w:val="2"/>
            <w:vMerge w:val="restart"/>
          </w:tcPr>
          <w:p>
            <w:pPr>
              <w:jc w:val="center"/>
              <w:ind w:right="1000"/>
              <w:spacing w:after="0"/>
              <w:rPr>
                <w:sz w:val="20"/>
                <w:szCs w:val="20"/>
                <w:color w:val="auto"/>
              </w:rPr>
            </w:pPr>
            <w:r>
              <w:rPr>
                <w:rFonts w:ascii="Arial" w:cs="Arial" w:eastAsia="Arial" w:hAnsi="Arial"/>
                <w:sz w:val="22"/>
                <w:szCs w:val="22"/>
                <w:color w:val="auto"/>
                <w:w w:val="88"/>
              </w:rPr>
              <w:t>Washington, D.C. 20549</w:t>
            </w:r>
          </w:p>
        </w:tc>
        <w:tc>
          <w:tcPr>
            <w:tcW w:w="1860" w:type="dxa"/>
            <w:vAlign w:val="bottom"/>
          </w:tcPr>
          <w:p>
            <w:pPr>
              <w:ind w:left="60"/>
              <w:spacing w:after="0"/>
              <w:rPr>
                <w:sz w:val="20"/>
                <w:szCs w:val="20"/>
                <w:color w:val="auto"/>
              </w:rPr>
            </w:pPr>
            <w:r>
              <w:rPr>
                <w:rFonts w:ascii="Arial" w:cs="Arial" w:eastAsia="Arial" w:hAnsi="Arial"/>
                <w:sz w:val="22"/>
                <w:szCs w:val="22"/>
                <w:color w:val="auto"/>
              </w:rPr>
              <w:t>Expires:</w:t>
            </w:r>
          </w:p>
        </w:tc>
        <w:tc>
          <w:tcPr>
            <w:tcW w:w="1780" w:type="dxa"/>
            <w:vAlign w:val="bottom"/>
          </w:tcPr>
          <w:p>
            <w:pPr>
              <w:ind w:left="100"/>
              <w:spacing w:after="0"/>
              <w:rPr>
                <w:sz w:val="20"/>
                <w:szCs w:val="20"/>
                <w:color w:val="auto"/>
              </w:rPr>
            </w:pPr>
            <w:r>
              <w:rPr>
                <w:rFonts w:ascii="Arial" w:cs="Arial" w:eastAsia="Arial" w:hAnsi="Arial"/>
                <w:sz w:val="22"/>
                <w:szCs w:val="22"/>
                <w:color w:val="auto"/>
              </w:rPr>
              <w:t>March 31, 2018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5440" w:type="dxa"/>
            <w:vAlign w:val="bottom"/>
            <w:gridSpan w:val="2"/>
            <w:vMerge w:val="continue"/>
          </w:tcPr>
          <w:p>
            <w:pPr>
              <w:spacing w:after="0"/>
              <w:rPr>
                <w:sz w:val="17"/>
                <w:szCs w:val="17"/>
                <w:color w:val="auto"/>
              </w:rPr>
            </w:pPr>
          </w:p>
        </w:tc>
        <w:tc>
          <w:tcPr>
            <w:tcW w:w="3640" w:type="dxa"/>
            <w:vAlign w:val="bottom"/>
            <w:gridSpan w:val="2"/>
            <w:vMerge w:val="restart"/>
          </w:tcPr>
          <w:p>
            <w:pPr>
              <w:ind w:left="60"/>
              <w:spacing w:after="0"/>
              <w:rPr>
                <w:sz w:val="20"/>
                <w:szCs w:val="20"/>
                <w:color w:val="auto"/>
              </w:rPr>
            </w:pPr>
            <w:r>
              <w:rPr>
                <w:rFonts w:ascii="Arial" w:cs="Arial" w:eastAsia="Arial" w:hAnsi="Arial"/>
                <w:sz w:val="22"/>
                <w:szCs w:val="22"/>
                <w:color w:val="auto"/>
              </w:rPr>
              <w:t>Estimated average burden</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54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9"/>
        </w:trPr>
        <w:tc>
          <w:tcPr>
            <w:tcW w:w="5440" w:type="dxa"/>
            <w:vAlign w:val="bottom"/>
            <w:gridSpan w:val="2"/>
          </w:tcPr>
          <w:p>
            <w:pPr>
              <w:jc w:val="center"/>
              <w:ind w:right="1000"/>
              <w:spacing w:after="0"/>
              <w:rPr>
                <w:sz w:val="20"/>
                <w:szCs w:val="20"/>
                <w:color w:val="auto"/>
              </w:rPr>
            </w:pPr>
            <w:r>
              <w:rPr>
                <w:rFonts w:ascii="Arial" w:cs="Arial" w:eastAsia="Arial" w:hAnsi="Arial"/>
                <w:sz w:val="22"/>
                <w:szCs w:val="22"/>
                <w:color w:val="auto"/>
                <w:w w:val="92"/>
              </w:rPr>
              <w:t>FORM 25</w:t>
            </w:r>
          </w:p>
        </w:tc>
        <w:tc>
          <w:tcPr>
            <w:tcW w:w="1860" w:type="dxa"/>
            <w:vAlign w:val="bottom"/>
            <w:tcBorders>
              <w:bottom w:val="single" w:sz="8" w:color="808080"/>
            </w:tcBorders>
          </w:tcPr>
          <w:p>
            <w:pPr>
              <w:ind w:left="60"/>
              <w:spacing w:after="0"/>
              <w:rPr>
                <w:sz w:val="20"/>
                <w:szCs w:val="20"/>
                <w:color w:val="auto"/>
              </w:rPr>
            </w:pPr>
            <w:r>
              <w:rPr>
                <w:rFonts w:ascii="Arial" w:cs="Arial" w:eastAsia="Arial" w:hAnsi="Arial"/>
                <w:sz w:val="22"/>
                <w:szCs w:val="22"/>
                <w:color w:val="auto"/>
                <w:w w:val="90"/>
              </w:rPr>
              <w:t>hours per response:</w:t>
            </w:r>
          </w:p>
        </w:tc>
        <w:tc>
          <w:tcPr>
            <w:tcW w:w="1780" w:type="dxa"/>
            <w:vAlign w:val="bottom"/>
            <w:tcBorders>
              <w:bottom w:val="single" w:sz="8" w:color="808080"/>
            </w:tcBorders>
          </w:tcPr>
          <w:p>
            <w:pPr>
              <w:ind w:left="180"/>
              <w:spacing w:after="0"/>
              <w:rPr>
                <w:sz w:val="20"/>
                <w:szCs w:val="20"/>
                <w:color w:val="auto"/>
              </w:rPr>
            </w:pPr>
            <w:r>
              <w:rPr>
                <w:rFonts w:ascii="Arial" w:cs="Arial" w:eastAsia="Arial" w:hAnsi="Arial"/>
                <w:sz w:val="22"/>
                <w:szCs w:val="22"/>
                <w:color w:val="auto"/>
              </w:rPr>
              <w:t>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54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860" w:type="dxa"/>
            <w:vAlign w:val="bottom"/>
            <w:tcBorders>
              <w:bottom w:val="single" w:sz="8" w:color="2C2C2C"/>
            </w:tcBorders>
          </w:tcPr>
          <w:p>
            <w:pPr>
              <w:spacing w:after="0" w:line="20" w:lineRule="exact"/>
              <w:rPr>
                <w:sz w:val="1"/>
                <w:szCs w:val="1"/>
                <w:color w:val="auto"/>
              </w:rPr>
            </w:pPr>
          </w:p>
        </w:tc>
        <w:tc>
          <w:tcPr>
            <w:tcW w:w="1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4580255</wp:posOffset>
            </wp:positionH>
            <wp:positionV relativeFrom="page">
              <wp:posOffset>182880</wp:posOffset>
            </wp:positionV>
            <wp:extent cx="2366010" cy="10629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66010" cy="1062990"/>
                    </a:xfrm>
                    <a:prstGeom prst="rect">
                      <a:avLst/>
                    </a:prstGeom>
                    <a:noFill/>
                  </pic:spPr>
                </pic:pic>
              </a:graphicData>
            </a:graphic>
          </wp:anchor>
        </w:drawing>
      </w:r>
    </w:p>
    <w:p>
      <w:pPr>
        <w:ind w:left="1520"/>
        <w:spacing w:after="0"/>
        <w:rPr>
          <w:sz w:val="20"/>
          <w:szCs w:val="20"/>
          <w:color w:val="auto"/>
        </w:rPr>
      </w:pPr>
      <w:r>
        <w:rPr>
          <w:rFonts w:ascii="Arial" w:cs="Arial" w:eastAsia="Arial" w:hAnsi="Arial"/>
          <w:sz w:val="22"/>
          <w:szCs w:val="22"/>
          <w:color w:val="auto"/>
        </w:rPr>
        <w:t>NOTIFICATION OF REMOVAL FROM LISTING AND/OR REGISTRATION</w:t>
      </w:r>
    </w:p>
    <w:p>
      <w:pPr>
        <w:spacing w:after="0" w:line="8" w:lineRule="exact"/>
        <w:rPr>
          <w:sz w:val="24"/>
          <w:szCs w:val="24"/>
          <w:color w:val="auto"/>
        </w:rPr>
      </w:pPr>
    </w:p>
    <w:p>
      <w:pPr>
        <w:ind w:left="1560"/>
        <w:spacing w:after="0"/>
        <w:rPr>
          <w:sz w:val="20"/>
          <w:szCs w:val="20"/>
          <w:color w:val="auto"/>
        </w:rPr>
      </w:pPr>
      <w:r>
        <w:rPr>
          <w:rFonts w:ascii="Arial" w:cs="Arial" w:eastAsia="Arial" w:hAnsi="Arial"/>
          <w:sz w:val="22"/>
          <w:szCs w:val="22"/>
          <w:color w:val="auto"/>
        </w:rPr>
        <w:t>UNDER SECTION 12(b) OF THE SECURITIES EXCHANGE ACT OF 1934.</w:t>
      </w:r>
    </w:p>
    <w:p>
      <w:pPr>
        <w:spacing w:after="0" w:line="26" w:lineRule="exact"/>
        <w:rPr>
          <w:sz w:val="24"/>
          <w:szCs w:val="24"/>
          <w:color w:val="auto"/>
        </w:rPr>
      </w:pPr>
    </w:p>
    <w:p>
      <w:pPr>
        <w:ind w:left="4000"/>
        <w:spacing w:after="0"/>
        <w:rPr>
          <w:rFonts w:ascii="Arial" w:cs="Arial" w:eastAsia="Arial" w:hAnsi="Arial"/>
          <w:sz w:val="22"/>
          <w:szCs w:val="22"/>
          <w:color w:val="auto"/>
        </w:rPr>
      </w:pPr>
      <w:r>
        <w:rPr>
          <w:rFonts w:ascii="Arial" w:cs="Arial" w:eastAsia="Arial" w:hAnsi="Arial"/>
          <w:sz w:val="22"/>
          <w:szCs w:val="22"/>
          <w:color w:val="auto"/>
        </w:rPr>
        <w:t xml:space="preserve">Commission File Number </w:t>
      </w:r>
      <w:hyperlink r:id="rId9">
        <w:r>
          <w:rPr>
            <w:rFonts w:ascii="Arial" w:cs="Arial" w:eastAsia="Arial" w:hAnsi="Arial"/>
            <w:sz w:val="22"/>
            <w:szCs w:val="22"/>
            <w:u w:val="single" w:color="auto"/>
            <w:color w:val="0000EE"/>
          </w:rPr>
          <w:t>001-34148</w:t>
        </w:r>
      </w:hyperlink>
    </w:p>
    <w:p>
      <w:pPr>
        <w:spacing w:after="0" w:line="125" w:lineRule="exact"/>
        <w:rPr>
          <w:sz w:val="24"/>
          <w:szCs w:val="24"/>
          <w:color w:val="auto"/>
        </w:rPr>
      </w:pPr>
    </w:p>
    <w:p>
      <w:pPr>
        <w:ind w:left="3160"/>
        <w:spacing w:after="0"/>
        <w:tabs>
          <w:tab w:leader="none" w:pos="4120" w:val="left"/>
        </w:tabs>
        <w:rPr>
          <w:rFonts w:ascii="Arial" w:cs="Arial" w:eastAsia="Arial" w:hAnsi="Arial"/>
          <w:sz w:val="22"/>
          <w:szCs w:val="22"/>
          <w:u w:val="single" w:color="auto"/>
          <w:color w:val="0000EE"/>
        </w:rPr>
      </w:pPr>
      <w:r>
        <w:rPr>
          <w:rFonts w:ascii="Arial" w:cs="Arial" w:eastAsia="Arial" w:hAnsi="Arial"/>
          <w:sz w:val="22"/>
          <w:szCs w:val="22"/>
          <w:color w:val="auto"/>
        </w:rPr>
        <w:t>Issuer:</w:t>
      </w:r>
      <w:r>
        <w:rPr>
          <w:sz w:val="20"/>
          <w:szCs w:val="20"/>
          <w:color w:val="auto"/>
        </w:rPr>
        <w:tab/>
      </w:r>
      <w:hyperlink r:id="rId10">
        <w:r>
          <w:rPr>
            <w:rFonts w:ascii="Arial" w:cs="Arial" w:eastAsia="Arial" w:hAnsi="Arial"/>
            <w:sz w:val="22"/>
            <w:szCs w:val="22"/>
            <w:u w:val="single" w:color="auto"/>
            <w:color w:val="0000EE"/>
          </w:rPr>
          <w:t>IAC/INTERACTIVECORP</w:t>
        </w:r>
      </w:hyperlink>
    </w:p>
    <w:p>
      <w:pPr>
        <w:spacing w:after="0" w:line="4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Exchange: The Nasdaq Stock Market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41275</wp:posOffset>
            </wp:positionV>
            <wp:extent cx="553783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92"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Issuer as specified in its charter, and name of Exchange where security is listed</w:t>
      </w:r>
    </w:p>
    <w:p>
      <w:pPr>
        <w:spacing w:after="0" w:line="8"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and/or registered)</w:t>
      </w:r>
    </w:p>
    <w:p>
      <w:pPr>
        <w:spacing w:after="0" w:line="67" w:lineRule="exact"/>
        <w:rPr>
          <w:sz w:val="24"/>
          <w:szCs w:val="24"/>
          <w:color w:val="auto"/>
        </w:rPr>
      </w:pPr>
    </w:p>
    <w:p>
      <w:pPr>
        <w:ind w:left="3060"/>
        <w:spacing w:after="0"/>
        <w:rPr>
          <w:sz w:val="20"/>
          <w:szCs w:val="20"/>
          <w:color w:val="auto"/>
        </w:rPr>
      </w:pPr>
      <w:r>
        <w:rPr>
          <w:rFonts w:ascii="Arial" w:cs="Arial" w:eastAsia="Arial" w:hAnsi="Arial"/>
          <w:sz w:val="22"/>
          <w:szCs w:val="22"/>
          <w:color w:val="auto"/>
        </w:rPr>
        <w:t>Address: 555 West 18th Street</w:t>
      </w:r>
    </w:p>
    <w:p>
      <w:pPr>
        <w:spacing w:after="0" w:line="44" w:lineRule="exact"/>
        <w:rPr>
          <w:sz w:val="24"/>
          <w:szCs w:val="24"/>
          <w:color w:val="auto"/>
        </w:rPr>
      </w:pPr>
    </w:p>
    <w:p>
      <w:pPr>
        <w:ind w:left="3880"/>
        <w:spacing w:after="0"/>
        <w:rPr>
          <w:sz w:val="20"/>
          <w:szCs w:val="20"/>
          <w:color w:val="auto"/>
        </w:rPr>
      </w:pPr>
      <w:r>
        <w:rPr>
          <w:rFonts w:ascii="Arial" w:cs="Arial" w:eastAsia="Arial" w:hAnsi="Arial"/>
          <w:sz w:val="22"/>
          <w:szCs w:val="22"/>
          <w:color w:val="auto"/>
        </w:rPr>
        <w:t>New York NEW YORK 10011</w:t>
      </w:r>
    </w:p>
    <w:p>
      <w:pPr>
        <w:spacing w:after="0" w:line="44" w:lineRule="exact"/>
        <w:rPr>
          <w:sz w:val="24"/>
          <w:szCs w:val="24"/>
          <w:color w:val="auto"/>
        </w:rPr>
      </w:pPr>
    </w:p>
    <w:tbl>
      <w:tblPr>
        <w:tblLayout w:type="fixed"/>
        <w:tblInd w:w="2160" w:type="dxa"/>
        <w:tblCellMar>
          <w:top w:w="0" w:type="dxa"/>
          <w:left w:w="0" w:type="dxa"/>
          <w:bottom w:w="0" w:type="dxa"/>
          <w:right w:w="0" w:type="dxa"/>
        </w:tblCellMar>
      </w:tblPr>
      <w:tr>
        <w:trPr>
          <w:trHeight w:val="274"/>
        </w:trPr>
        <w:tc>
          <w:tcPr>
            <w:tcW w:w="3080" w:type="dxa"/>
            <w:vAlign w:val="bottom"/>
          </w:tcPr>
          <w:p>
            <w:pPr>
              <w:spacing w:after="0"/>
              <w:rPr>
                <w:sz w:val="20"/>
                <w:szCs w:val="20"/>
                <w:color w:val="auto"/>
              </w:rPr>
            </w:pPr>
            <w:r>
              <w:rPr>
                <w:rFonts w:ascii="Arial" w:cs="Arial" w:eastAsia="Arial" w:hAnsi="Arial"/>
                <w:sz w:val="22"/>
                <w:szCs w:val="22"/>
                <w:color w:val="auto"/>
              </w:rPr>
              <w:t>Telephone number:</w:t>
            </w:r>
          </w:p>
        </w:tc>
        <w:tc>
          <w:tcPr>
            <w:tcW w:w="2620" w:type="dxa"/>
            <w:vAlign w:val="bottom"/>
          </w:tcPr>
          <w:p>
            <w:pPr>
              <w:jc w:val="right"/>
              <w:spacing w:after="0"/>
              <w:rPr>
                <w:sz w:val="20"/>
                <w:szCs w:val="20"/>
                <w:color w:val="auto"/>
              </w:rPr>
            </w:pPr>
            <w:r>
              <w:rPr>
                <w:rFonts w:ascii="Arial" w:cs="Arial" w:eastAsia="Arial" w:hAnsi="Arial"/>
                <w:sz w:val="22"/>
                <w:szCs w:val="22"/>
                <w:color w:val="auto"/>
              </w:rPr>
              <w:t>212 314-7300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27940</wp:posOffset>
            </wp:positionV>
            <wp:extent cx="55378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70" w:lineRule="exact"/>
        <w:rPr>
          <w:sz w:val="24"/>
          <w:szCs w:val="24"/>
          <w:color w:val="auto"/>
        </w:rPr>
      </w:pPr>
    </w:p>
    <w:p>
      <w:pPr>
        <w:jc w:val="center"/>
        <w:spacing w:after="0" w:line="250" w:lineRule="auto"/>
        <w:rPr>
          <w:sz w:val="20"/>
          <w:szCs w:val="20"/>
          <w:color w:val="auto"/>
        </w:rPr>
      </w:pPr>
      <w:r>
        <w:rPr>
          <w:rFonts w:ascii="Arial" w:cs="Arial" w:eastAsia="Arial" w:hAnsi="Arial"/>
          <w:sz w:val="22"/>
          <w:szCs w:val="22"/>
          <w:color w:val="auto"/>
        </w:rPr>
        <w:t>(Address, including zip code, and telephone number, including area code, of Issuer's principal executive offices)</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15875</wp:posOffset>
            </wp:positionV>
            <wp:extent cx="55378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(Description of class of securities)</w:t>
      </w:r>
    </w:p>
    <w:p>
      <w:pPr>
        <w:spacing w:after="0" w:line="85" w:lineRule="exact"/>
        <w:rPr>
          <w:sz w:val="24"/>
          <w:szCs w:val="24"/>
          <w:color w:val="auto"/>
        </w:rPr>
      </w:pPr>
    </w:p>
    <w:p>
      <w:pPr>
        <w:ind w:right="140"/>
        <w:spacing w:after="0" w:line="250" w:lineRule="auto"/>
        <w:rPr>
          <w:sz w:val="20"/>
          <w:szCs w:val="20"/>
          <w:color w:val="auto"/>
        </w:rPr>
      </w:pPr>
      <w:r>
        <w:rPr>
          <w:rFonts w:ascii="Arial" w:cs="Arial" w:eastAsia="Arial" w:hAnsi="Arial"/>
          <w:sz w:val="22"/>
          <w:szCs w:val="22"/>
          <w:color w:val="auto"/>
        </w:rPr>
        <w:t>Please place an X in the box to designate the rule provision relied upon to strike the class of securities from listing and registration:</w:t>
      </w:r>
    </w:p>
    <w:p>
      <w:pPr>
        <w:spacing w:after="0" w:line="188"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17 CFR 240.12d2-2(a)(1)</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17 CFR 240.12d2-2(a)(2)</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17 CFR 240.12d2-2(a)(3)</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17 CFR 240.12d2-2(a)(4)</w:t>
      </w:r>
    </w:p>
    <w:p>
      <w:pPr>
        <w:spacing w:after="0" w:line="179" w:lineRule="exact"/>
        <w:rPr>
          <w:sz w:val="24"/>
          <w:szCs w:val="24"/>
          <w:color w:val="auto"/>
        </w:rPr>
      </w:pPr>
    </w:p>
    <w:p>
      <w:pPr>
        <w:ind w:left="780" w:right="1200" w:firstLine="54"/>
        <w:spacing w:after="0" w:line="292" w:lineRule="auto"/>
        <w:rPr>
          <w:rFonts w:ascii="Arial" w:cs="Arial" w:eastAsia="Arial" w:hAnsi="Arial"/>
          <w:sz w:val="20"/>
          <w:szCs w:val="20"/>
          <w:color w:val="auto"/>
        </w:rPr>
      </w:pPr>
      <w:r>
        <w:rPr>
          <w:sz w:val="1"/>
          <w:szCs w:val="1"/>
          <w:color w:val="auto"/>
        </w:rPr>
        <w:drawing>
          <wp:inline distT="0" distB="0" distL="0" distR="0">
            <wp:extent cx="111125" cy="1111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0"/>
          <w:szCs w:val="20"/>
          <w:color w:val="auto"/>
        </w:rPr>
        <w:t xml:space="preserve"> Pursuant to 17 CFR 240.12d2-2(b), the Exchange has complied with its rules to strike the class of securities from listing and/or withdraw registration on the Exchange. </w:t>
      </w:r>
      <w:hyperlink w:anchor="page1">
        <w:r>
          <w:rPr>
            <w:rFonts w:ascii="Arial" w:cs="Arial" w:eastAsia="Arial" w:hAnsi="Arial"/>
            <w:sz w:val="32"/>
            <w:szCs w:val="32"/>
            <w:u w:val="single" w:color="auto"/>
            <w:color w:val="0000EE"/>
            <w:vertAlign w:val="superscript"/>
          </w:rPr>
          <w:t>1</w:t>
        </w:r>
      </w:hyperlink>
    </w:p>
    <w:p>
      <w:pPr>
        <w:spacing w:after="0" w:line="1" w:lineRule="exact"/>
        <w:rPr>
          <w:sz w:val="24"/>
          <w:szCs w:val="24"/>
          <w:color w:val="auto"/>
        </w:rPr>
      </w:pPr>
    </w:p>
    <w:p>
      <w:pPr>
        <w:ind w:left="780" w:right="800" w:firstLine="54"/>
        <w:spacing w:after="0"/>
        <w:rPr>
          <w:sz w:val="20"/>
          <w:szCs w:val="20"/>
          <w:color w:val="auto"/>
        </w:rPr>
      </w:pPr>
      <w:r>
        <w:rPr>
          <w:sz w:val="1"/>
          <w:szCs w:val="1"/>
          <w:color w:val="auto"/>
        </w:rPr>
        <w:drawing>
          <wp:inline distT="0" distB="0" distL="0" distR="0">
            <wp:extent cx="111125" cy="111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73" w:lineRule="exact"/>
        <w:rPr>
          <w:sz w:val="24"/>
          <w:szCs w:val="24"/>
          <w:color w:val="auto"/>
        </w:rPr>
      </w:pPr>
    </w:p>
    <w:p>
      <w:pPr>
        <w:jc w:val="both"/>
        <w:ind w:right="140"/>
        <w:spacing w:after="0" w:line="257" w:lineRule="auto"/>
        <w:rPr>
          <w:sz w:val="20"/>
          <w:szCs w:val="20"/>
          <w:color w:val="auto"/>
        </w:rPr>
      </w:pPr>
      <w:r>
        <w:rPr>
          <w:rFonts w:ascii="Arial" w:cs="Arial" w:eastAsia="Arial" w:hAnsi="Arial"/>
          <w:sz w:val="21"/>
          <w:szCs w:val="21"/>
          <w:color w:val="auto"/>
        </w:rPr>
        <w:t>Pursuant to the requirements fo the Securities Exchange Act of 1934, The Nasdaq Stock Market LLC certifies that it has reasonable grounds to believe that it meets all of the requirements for filing the Form 25 and has caused this notification to be signed on its behalf by the undersigned duly authorized person.</w:t>
      </w:r>
    </w:p>
    <w:p>
      <w:pPr>
        <w:spacing w:after="0" w:line="48" w:lineRule="exact"/>
        <w:rPr>
          <w:sz w:val="24"/>
          <w:szCs w:val="24"/>
          <w:color w:val="auto"/>
        </w:rPr>
      </w:pPr>
    </w:p>
    <w:tbl>
      <w:tblPr>
        <w:tblLayout w:type="fixed"/>
        <w:tblInd w:w="640" w:type="dxa"/>
        <w:tblCellMar>
          <w:top w:w="0" w:type="dxa"/>
          <w:left w:w="0" w:type="dxa"/>
          <w:bottom w:w="0" w:type="dxa"/>
          <w:right w:w="0" w:type="dxa"/>
        </w:tblCellMar>
      </w:tblPr>
      <w:tr>
        <w:trPr>
          <w:trHeight w:val="276"/>
        </w:trPr>
        <w:tc>
          <w:tcPr>
            <w:tcW w:w="2060" w:type="dxa"/>
            <w:vAlign w:val="bottom"/>
            <w:tcBorders>
              <w:bottom w:val="single" w:sz="8" w:color="auto"/>
            </w:tcBorders>
          </w:tcPr>
          <w:p>
            <w:pPr>
              <w:jc w:val="right"/>
              <w:ind w:right="412"/>
              <w:spacing w:after="0"/>
              <w:rPr>
                <w:sz w:val="20"/>
                <w:szCs w:val="20"/>
                <w:color w:val="auto"/>
              </w:rPr>
            </w:pPr>
            <w:r>
              <w:rPr>
                <w:rFonts w:ascii="Arial" w:cs="Arial" w:eastAsia="Arial" w:hAnsi="Arial"/>
                <w:sz w:val="22"/>
                <w:szCs w:val="22"/>
                <w:color w:val="auto"/>
              </w:rPr>
              <w:t>2020-06-30</w:t>
            </w:r>
          </w:p>
        </w:tc>
        <w:tc>
          <w:tcPr>
            <w:tcW w:w="940" w:type="dxa"/>
            <w:vAlign w:val="bottom"/>
          </w:tcPr>
          <w:p>
            <w:pPr>
              <w:ind w:left="640"/>
              <w:spacing w:after="0"/>
              <w:rPr>
                <w:sz w:val="20"/>
                <w:szCs w:val="20"/>
                <w:color w:val="auto"/>
              </w:rPr>
            </w:pPr>
            <w:r>
              <w:rPr>
                <w:rFonts w:ascii="Arial" w:cs="Arial" w:eastAsia="Arial" w:hAnsi="Arial"/>
                <w:sz w:val="22"/>
                <w:szCs w:val="22"/>
                <w:color w:val="auto"/>
              </w:rPr>
              <w:t>By</w:t>
            </w:r>
          </w:p>
        </w:tc>
        <w:tc>
          <w:tcPr>
            <w:tcW w:w="3400" w:type="dxa"/>
            <w:vAlign w:val="bottom"/>
            <w:tcBorders>
              <w:bottom w:val="single" w:sz="8" w:color="auto"/>
            </w:tcBorders>
          </w:tcPr>
          <w:p>
            <w:pPr>
              <w:ind w:left="1260"/>
              <w:spacing w:after="0"/>
              <w:rPr>
                <w:sz w:val="20"/>
                <w:szCs w:val="20"/>
                <w:color w:val="auto"/>
              </w:rPr>
            </w:pPr>
            <w:r>
              <w:rPr>
                <w:rFonts w:ascii="Arial" w:cs="Arial" w:eastAsia="Arial" w:hAnsi="Arial"/>
                <w:sz w:val="22"/>
                <w:szCs w:val="22"/>
                <w:color w:val="auto"/>
              </w:rPr>
              <w:t>Tara Petta</w:t>
            </w:r>
          </w:p>
        </w:tc>
        <w:tc>
          <w:tcPr>
            <w:tcW w:w="260" w:type="dxa"/>
            <w:vAlign w:val="bottom"/>
          </w:tcPr>
          <w:p>
            <w:pPr>
              <w:spacing w:after="0"/>
              <w:rPr>
                <w:sz w:val="24"/>
                <w:szCs w:val="24"/>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3"/>
              </w:rPr>
              <w:t>Director</w:t>
            </w:r>
          </w:p>
        </w:tc>
      </w:tr>
      <w:tr>
        <w:trPr>
          <w:trHeight w:val="289"/>
        </w:trPr>
        <w:tc>
          <w:tcPr>
            <w:tcW w:w="2060" w:type="dxa"/>
            <w:vAlign w:val="bottom"/>
          </w:tcPr>
          <w:p>
            <w:pPr>
              <w:jc w:val="center"/>
              <w:spacing w:after="0"/>
              <w:rPr>
                <w:sz w:val="20"/>
                <w:szCs w:val="20"/>
                <w:color w:val="auto"/>
              </w:rPr>
            </w:pPr>
            <w:r>
              <w:rPr>
                <w:rFonts w:ascii="Arial" w:cs="Arial" w:eastAsia="Arial" w:hAnsi="Arial"/>
                <w:sz w:val="22"/>
                <w:szCs w:val="22"/>
                <w:color w:val="auto"/>
                <w:w w:val="85"/>
              </w:rPr>
              <w:t>Date</w:t>
            </w:r>
          </w:p>
        </w:tc>
        <w:tc>
          <w:tcPr>
            <w:tcW w:w="940" w:type="dxa"/>
            <w:vAlign w:val="bottom"/>
          </w:tcPr>
          <w:p>
            <w:pPr>
              <w:spacing w:after="0"/>
              <w:rPr>
                <w:sz w:val="24"/>
                <w:szCs w:val="24"/>
                <w:color w:val="auto"/>
              </w:rPr>
            </w:pPr>
          </w:p>
        </w:tc>
        <w:tc>
          <w:tcPr>
            <w:tcW w:w="3400" w:type="dxa"/>
            <w:vAlign w:val="bottom"/>
          </w:tcPr>
          <w:p>
            <w:pPr>
              <w:ind w:left="1560"/>
              <w:spacing w:after="0"/>
              <w:rPr>
                <w:sz w:val="20"/>
                <w:szCs w:val="20"/>
                <w:color w:val="auto"/>
              </w:rPr>
            </w:pPr>
            <w:r>
              <w:rPr>
                <w:rFonts w:ascii="Arial" w:cs="Arial" w:eastAsia="Arial" w:hAnsi="Arial"/>
                <w:sz w:val="22"/>
                <w:szCs w:val="22"/>
                <w:color w:val="auto"/>
              </w:rPr>
              <w:t>Name</w:t>
            </w:r>
          </w:p>
        </w:tc>
        <w:tc>
          <w:tcPr>
            <w:tcW w:w="26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Arial" w:cs="Arial" w:eastAsia="Arial" w:hAnsi="Arial"/>
                <w:sz w:val="22"/>
                <w:szCs w:val="22"/>
                <w:color w:val="auto"/>
                <w:w w:val="96"/>
              </w:rPr>
              <w:t>Title</w:t>
            </w:r>
          </w:p>
        </w:tc>
      </w:tr>
    </w:tbl>
    <w:p>
      <w:pPr>
        <w:spacing w:after="0" w:line="104" w:lineRule="exact"/>
        <w:rPr>
          <w:sz w:val="24"/>
          <w:szCs w:val="24"/>
          <w:color w:val="auto"/>
        </w:rPr>
      </w:pPr>
    </w:p>
    <w:p>
      <w:pPr>
        <w:ind w:left="1260" w:right="900" w:hanging="597"/>
        <w:spacing w:after="0" w:line="250" w:lineRule="auto"/>
        <w:tabs>
          <w:tab w:leader="none" w:pos="1260" w:val="left"/>
        </w:tabs>
        <w:numPr>
          <w:ilvl w:val="0"/>
          <w:numId w:val="1"/>
        </w:numPr>
        <w:rPr>
          <w:rFonts w:ascii="Arial" w:cs="Arial" w:eastAsia="Arial" w:hAnsi="Arial"/>
          <w:sz w:val="18"/>
          <w:szCs w:val="18"/>
          <w:color w:val="auto"/>
        </w:rPr>
      </w:pPr>
      <w:r>
        <w:rPr>
          <w:rFonts w:ascii="Arial" w:cs="Arial" w:eastAsia="Arial" w:hAnsi="Arial"/>
          <w:sz w:val="22"/>
          <w:szCs w:val="22"/>
          <w:color w:val="auto"/>
        </w:rPr>
        <w:t xml:space="preserve">Form 25 and attached Notice will be considered compliance with the provisions of 17 CFR 240.19d-1 as applicable. </w:t>
      </w:r>
      <w:r>
        <w:rPr>
          <w:rFonts w:ascii="Arial" w:cs="Arial" w:eastAsia="Arial" w:hAnsi="Arial"/>
          <w:sz w:val="22"/>
          <w:szCs w:val="22"/>
          <w:u w:val="single" w:color="auto"/>
          <w:color w:val="0000EE"/>
        </w:rPr>
        <w:t>See</w:t>
      </w:r>
      <w:r>
        <w:rPr>
          <w:rFonts w:ascii="Arial" w:cs="Arial" w:eastAsia="Arial" w:hAnsi="Arial"/>
          <w:sz w:val="22"/>
          <w:szCs w:val="22"/>
          <w:color w:val="auto"/>
        </w:rPr>
        <w:t xml:space="preserve"> General Instructions.</w:t>
      </w:r>
    </w:p>
    <w:p>
      <w:pPr>
        <w:spacing w:after="0" w:line="53" w:lineRule="exact"/>
        <w:rPr>
          <w:sz w:val="24"/>
          <w:szCs w:val="24"/>
          <w:color w:val="auto"/>
        </w:rPr>
      </w:pPr>
    </w:p>
    <w:p>
      <w:pPr>
        <w:ind w:right="180"/>
        <w:spacing w:after="0" w:line="250"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20" w:top="309" w:right="959"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Iac-form25</w:t>
      </w:r>
    </w:p>
    <w:sectPr>
      <w:pgSz w:w="11900" w:h="16838" w:orient="portrait"/>
      <w:cols w:equalWidth="0" w:num="1">
        <w:col w:w="10139"/>
      </w:cols>
      <w:pgMar w:left="32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9" Type="http://schemas.openxmlformats.org/officeDocument/2006/relationships/hyperlink" Target="file:///cgi-bin/browse-edgar?action=getcompany&amp;filenum=001-34148" TargetMode="External"/><Relationship Id="rId10" Type="http://schemas.openxmlformats.org/officeDocument/2006/relationships/hyperlink" Target="http://www.sec.gov/cgi-bin/browse-edgar?action=getcompany&amp;CIK=00008911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2020-06-30T16:31:34Z</dcterms:created>
  <dcterms:modified xsi:type="dcterms:W3CDTF">2020-06-30T16:31:34Z</dcterms:modified>
</cp:coreProperties>
</file>